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093" w:rsidRDefault="00C27093" w:rsidP="00EE1647">
      <w:pPr>
        <w:pStyle w:val="a5"/>
        <w:jc w:val="center"/>
        <w:rPr>
          <w:b/>
          <w:sz w:val="32"/>
          <w:szCs w:val="36"/>
        </w:rPr>
      </w:pPr>
      <w:bookmarkStart w:id="0" w:name="_GoBack"/>
      <w:r w:rsidRPr="00C27093">
        <w:rPr>
          <w:rFonts w:hint="eastAsia"/>
          <w:b/>
          <w:sz w:val="32"/>
          <w:szCs w:val="36"/>
        </w:rPr>
        <w:t>特种作业人员安全技术培训考核管理规定</w:t>
      </w:r>
    </w:p>
    <w:bookmarkEnd w:id="0"/>
    <w:p w:rsidR="006E4D42" w:rsidRPr="006E4D42" w:rsidRDefault="006E4D42" w:rsidP="00693BB6">
      <w:pPr>
        <w:widowControl/>
        <w:spacing w:afterLines="100" w:line="380" w:lineRule="exact"/>
        <w:ind w:firstLineChars="200" w:firstLine="480"/>
        <w:jc w:val="center"/>
        <w:rPr>
          <w:rFonts w:ascii="宋体" w:eastAsia="宋体" w:hAnsi="宋体" w:cs="宋体"/>
          <w:kern w:val="0"/>
          <w:sz w:val="12"/>
          <w:szCs w:val="24"/>
        </w:rPr>
      </w:pPr>
      <w:r w:rsidRPr="006E4D42">
        <w:rPr>
          <w:rFonts w:cs="宋体" w:hint="eastAsia"/>
          <w:b/>
          <w:kern w:val="0"/>
          <w:sz w:val="24"/>
          <w:szCs w:val="36"/>
        </w:rPr>
        <w:t>国家安全生产监督管理总局令</w:t>
      </w:r>
    </w:p>
    <w:p w:rsidR="006E4D42" w:rsidRPr="006E4D42" w:rsidRDefault="006E4D42" w:rsidP="00693BB6">
      <w:pPr>
        <w:widowControl/>
        <w:spacing w:afterLines="100" w:line="380" w:lineRule="exact"/>
        <w:ind w:firstLineChars="200" w:firstLine="480"/>
        <w:jc w:val="center"/>
        <w:rPr>
          <w:rFonts w:ascii="宋体" w:eastAsia="宋体" w:hAnsi="宋体" w:cs="宋体"/>
          <w:kern w:val="0"/>
          <w:sz w:val="24"/>
          <w:szCs w:val="24"/>
        </w:rPr>
      </w:pPr>
      <w:r w:rsidRPr="006E4D42">
        <w:rPr>
          <w:rFonts w:ascii="楷体_GB2312" w:eastAsia="楷体_GB2312" w:hAnsi="宋体" w:cs="宋体" w:hint="eastAsia"/>
          <w:kern w:val="0"/>
          <w:sz w:val="24"/>
          <w:szCs w:val="24"/>
        </w:rPr>
        <w:t>第30号</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《特种作业人员安全技术培训考核管理规定》已经</w:t>
      </w:r>
      <w:r w:rsidRPr="006E4D42">
        <w:rPr>
          <w:rFonts w:ascii="Calibri" w:eastAsia="宋体" w:hAnsi="Calibri" w:cs="Calibri"/>
          <w:kern w:val="0"/>
          <w:sz w:val="24"/>
          <w:szCs w:val="24"/>
        </w:rPr>
        <w:t>2010</w:t>
      </w:r>
      <w:r w:rsidRPr="006E4D42">
        <w:rPr>
          <w:rFonts w:cs="宋体" w:hint="eastAsia"/>
          <w:kern w:val="0"/>
          <w:sz w:val="24"/>
          <w:szCs w:val="24"/>
        </w:rPr>
        <w:t>年</w:t>
      </w:r>
      <w:r w:rsidRPr="006E4D42">
        <w:rPr>
          <w:rFonts w:ascii="Calibri" w:eastAsia="宋体" w:hAnsi="Calibri" w:cs="Calibri"/>
          <w:kern w:val="0"/>
          <w:sz w:val="24"/>
          <w:szCs w:val="24"/>
        </w:rPr>
        <w:t>4</w:t>
      </w:r>
      <w:r w:rsidRPr="006E4D42">
        <w:rPr>
          <w:rFonts w:cs="宋体" w:hint="eastAsia"/>
          <w:kern w:val="0"/>
          <w:sz w:val="24"/>
          <w:szCs w:val="24"/>
        </w:rPr>
        <w:t>月</w:t>
      </w:r>
      <w:r w:rsidRPr="006E4D42">
        <w:rPr>
          <w:rFonts w:ascii="Calibri" w:eastAsia="宋体" w:hAnsi="Calibri" w:cs="Calibri"/>
          <w:kern w:val="0"/>
          <w:sz w:val="24"/>
          <w:szCs w:val="24"/>
        </w:rPr>
        <w:t>26</w:t>
      </w:r>
      <w:r w:rsidRPr="006E4D42">
        <w:rPr>
          <w:rFonts w:cs="宋体" w:hint="eastAsia"/>
          <w:kern w:val="0"/>
          <w:sz w:val="24"/>
          <w:szCs w:val="24"/>
        </w:rPr>
        <w:t>日国家安全生产监督管理总局局长办公会议审议通过，现予以公布，自</w:t>
      </w:r>
      <w:r w:rsidRPr="006E4D42">
        <w:rPr>
          <w:rFonts w:ascii="Calibri" w:eastAsia="宋体" w:hAnsi="Calibri" w:cs="Calibri"/>
          <w:kern w:val="0"/>
          <w:sz w:val="24"/>
          <w:szCs w:val="24"/>
        </w:rPr>
        <w:t>2010</w:t>
      </w:r>
      <w:r w:rsidRPr="006E4D42">
        <w:rPr>
          <w:rFonts w:cs="宋体" w:hint="eastAsia"/>
          <w:kern w:val="0"/>
          <w:sz w:val="24"/>
          <w:szCs w:val="24"/>
        </w:rPr>
        <w:t>年</w:t>
      </w:r>
      <w:r w:rsidRPr="006E4D42">
        <w:rPr>
          <w:rFonts w:ascii="Calibri" w:eastAsia="宋体" w:hAnsi="Calibri" w:cs="Calibri"/>
          <w:kern w:val="0"/>
          <w:sz w:val="24"/>
          <w:szCs w:val="24"/>
        </w:rPr>
        <w:t>7</w:t>
      </w:r>
      <w:r w:rsidRPr="006E4D42">
        <w:rPr>
          <w:rFonts w:cs="宋体" w:hint="eastAsia"/>
          <w:kern w:val="0"/>
          <w:sz w:val="24"/>
          <w:szCs w:val="24"/>
        </w:rPr>
        <w:t>月</w:t>
      </w:r>
      <w:r w:rsidRPr="006E4D42">
        <w:rPr>
          <w:rFonts w:ascii="Calibri" w:eastAsia="宋体" w:hAnsi="Calibri" w:cs="Calibri"/>
          <w:kern w:val="0"/>
          <w:sz w:val="24"/>
          <w:szCs w:val="24"/>
        </w:rPr>
        <w:t>1</w:t>
      </w:r>
      <w:r w:rsidRPr="006E4D42">
        <w:rPr>
          <w:rFonts w:cs="宋体" w:hint="eastAsia"/>
          <w:kern w:val="0"/>
          <w:sz w:val="24"/>
          <w:szCs w:val="24"/>
        </w:rPr>
        <w:t>日起施行。</w:t>
      </w:r>
      <w:r w:rsidRPr="006E4D42">
        <w:rPr>
          <w:rFonts w:ascii="Calibri" w:eastAsia="宋体" w:hAnsi="Calibri" w:cs="Calibri"/>
          <w:kern w:val="0"/>
          <w:sz w:val="24"/>
          <w:szCs w:val="24"/>
        </w:rPr>
        <w:t>1999</w:t>
      </w:r>
      <w:r w:rsidRPr="006E4D42">
        <w:rPr>
          <w:rFonts w:cs="宋体" w:hint="eastAsia"/>
          <w:kern w:val="0"/>
          <w:sz w:val="24"/>
          <w:szCs w:val="24"/>
        </w:rPr>
        <w:t>年</w:t>
      </w:r>
      <w:r w:rsidRPr="006E4D42">
        <w:rPr>
          <w:rFonts w:ascii="Calibri" w:eastAsia="宋体" w:hAnsi="Calibri" w:cs="Calibri"/>
          <w:kern w:val="0"/>
          <w:sz w:val="24"/>
          <w:szCs w:val="24"/>
        </w:rPr>
        <w:t>7</w:t>
      </w:r>
      <w:r w:rsidRPr="006E4D42">
        <w:rPr>
          <w:rFonts w:cs="宋体" w:hint="eastAsia"/>
          <w:kern w:val="0"/>
          <w:sz w:val="24"/>
          <w:szCs w:val="24"/>
        </w:rPr>
        <w:t>月</w:t>
      </w:r>
      <w:r w:rsidRPr="006E4D42">
        <w:rPr>
          <w:rFonts w:ascii="Calibri" w:eastAsia="宋体" w:hAnsi="Calibri" w:cs="Calibri"/>
          <w:kern w:val="0"/>
          <w:sz w:val="24"/>
          <w:szCs w:val="24"/>
        </w:rPr>
        <w:t>12</w:t>
      </w:r>
      <w:r w:rsidRPr="006E4D42">
        <w:rPr>
          <w:rFonts w:cs="宋体" w:hint="eastAsia"/>
          <w:kern w:val="0"/>
          <w:sz w:val="24"/>
          <w:szCs w:val="24"/>
        </w:rPr>
        <w:t>日原国家经济贸易委员会发布的《特种作业人员安全技术培训考核管理办法》同时废止。</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 </w:t>
      </w:r>
    </w:p>
    <w:p w:rsidR="006E4D42" w:rsidRPr="006E4D42" w:rsidRDefault="006E4D42" w:rsidP="00693BB6">
      <w:pPr>
        <w:widowControl/>
        <w:spacing w:afterLines="100" w:line="380" w:lineRule="exact"/>
        <w:ind w:firstLineChars="200" w:firstLine="480"/>
        <w:jc w:val="right"/>
        <w:rPr>
          <w:rFonts w:ascii="宋体" w:eastAsia="宋体" w:hAnsi="宋体" w:cs="宋体"/>
          <w:kern w:val="0"/>
          <w:sz w:val="24"/>
          <w:szCs w:val="24"/>
        </w:rPr>
      </w:pPr>
      <w:r w:rsidRPr="006E4D42">
        <w:rPr>
          <w:rFonts w:cs="宋体" w:hint="eastAsia"/>
          <w:kern w:val="0"/>
          <w:sz w:val="24"/>
          <w:szCs w:val="24"/>
        </w:rPr>
        <w:t>局长骆琳</w:t>
      </w:r>
    </w:p>
    <w:p w:rsidR="006E4D42" w:rsidRPr="006E4D42" w:rsidRDefault="006E4D42" w:rsidP="00693BB6">
      <w:pPr>
        <w:widowControl/>
        <w:spacing w:afterLines="100" w:line="380" w:lineRule="exact"/>
        <w:ind w:firstLineChars="200" w:firstLine="480"/>
        <w:jc w:val="right"/>
        <w:rPr>
          <w:rFonts w:ascii="宋体" w:eastAsia="宋体" w:hAnsi="宋体" w:cs="宋体"/>
          <w:kern w:val="0"/>
          <w:sz w:val="24"/>
          <w:szCs w:val="24"/>
        </w:rPr>
      </w:pPr>
      <w:r w:rsidRPr="006E4D42">
        <w:rPr>
          <w:rFonts w:cs="宋体" w:hint="eastAsia"/>
          <w:kern w:val="0"/>
          <w:sz w:val="24"/>
          <w:szCs w:val="24"/>
        </w:rPr>
        <w:t>二○一○年五月二十四日</w:t>
      </w:r>
    </w:p>
    <w:p w:rsidR="006E4D42" w:rsidRPr="006E4D42" w:rsidRDefault="006E4D42" w:rsidP="00693BB6">
      <w:pPr>
        <w:widowControl/>
        <w:spacing w:afterLines="100" w:line="380" w:lineRule="exact"/>
        <w:jc w:val="left"/>
        <w:rPr>
          <w:rFonts w:ascii="宋体" w:eastAsia="宋体" w:hAnsi="宋体" w:cs="宋体"/>
          <w:kern w:val="0"/>
          <w:sz w:val="24"/>
          <w:szCs w:val="24"/>
        </w:rPr>
      </w:pPr>
      <w:r w:rsidRPr="006E4D42">
        <w:rPr>
          <w:rFonts w:ascii="Calibri" w:eastAsia="宋体" w:hAnsi="Calibri" w:cs="Calibri"/>
          <w:kern w:val="0"/>
          <w:sz w:val="24"/>
          <w:szCs w:val="24"/>
        </w:rPr>
        <w:t> </w:t>
      </w:r>
    </w:p>
    <w:p w:rsidR="006E4D42" w:rsidRPr="006E4D42" w:rsidRDefault="006E4D42" w:rsidP="00693BB6">
      <w:pPr>
        <w:widowControl/>
        <w:spacing w:afterLines="100" w:line="380" w:lineRule="exact"/>
        <w:jc w:val="center"/>
        <w:rPr>
          <w:rFonts w:ascii="宋体" w:eastAsia="宋体" w:hAnsi="宋体" w:cs="宋体"/>
          <w:kern w:val="0"/>
          <w:sz w:val="12"/>
          <w:szCs w:val="24"/>
        </w:rPr>
      </w:pPr>
      <w:r w:rsidRPr="006E4D42">
        <w:rPr>
          <w:rFonts w:cs="宋体" w:hint="eastAsia"/>
          <w:b/>
          <w:kern w:val="0"/>
          <w:sz w:val="24"/>
          <w:szCs w:val="36"/>
        </w:rPr>
        <w:t>特种作业人员安全技术培训考核管理规定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w:t>
      </w:r>
      <w:r w:rsidRPr="006E4D42">
        <w:rPr>
          <w:rFonts w:ascii="Calibri" w:eastAsia="宋体" w:hAnsi="Calibri" w:cs="Calibri"/>
          <w:kern w:val="0"/>
          <w:sz w:val="24"/>
          <w:szCs w:val="24"/>
        </w:rPr>
        <w:t>2010</w:t>
      </w:r>
      <w:r w:rsidRPr="006E4D42">
        <w:rPr>
          <w:rFonts w:cs="宋体" w:hint="eastAsia"/>
          <w:kern w:val="0"/>
          <w:sz w:val="24"/>
          <w:szCs w:val="24"/>
        </w:rPr>
        <w:t>年</w:t>
      </w:r>
      <w:r w:rsidRPr="006E4D42">
        <w:rPr>
          <w:rFonts w:ascii="Calibri" w:eastAsia="宋体" w:hAnsi="Calibri" w:cs="Calibri"/>
          <w:kern w:val="0"/>
          <w:sz w:val="24"/>
          <w:szCs w:val="24"/>
        </w:rPr>
        <w:t>5</w:t>
      </w:r>
      <w:r w:rsidRPr="006E4D42">
        <w:rPr>
          <w:rFonts w:cs="宋体" w:hint="eastAsia"/>
          <w:kern w:val="0"/>
          <w:sz w:val="24"/>
          <w:szCs w:val="24"/>
        </w:rPr>
        <w:t>月</w:t>
      </w:r>
      <w:r w:rsidRPr="006E4D42">
        <w:rPr>
          <w:rFonts w:ascii="Calibri" w:eastAsia="宋体" w:hAnsi="Calibri" w:cs="Calibri"/>
          <w:kern w:val="0"/>
          <w:sz w:val="24"/>
          <w:szCs w:val="24"/>
        </w:rPr>
        <w:t>24</w:t>
      </w:r>
      <w:r w:rsidRPr="006E4D42">
        <w:rPr>
          <w:rFonts w:cs="宋体" w:hint="eastAsia"/>
          <w:kern w:val="0"/>
          <w:sz w:val="24"/>
          <w:szCs w:val="24"/>
        </w:rPr>
        <w:t>日国家安全监管总局令第</w:t>
      </w:r>
      <w:r w:rsidRPr="006E4D42">
        <w:rPr>
          <w:rFonts w:ascii="Calibri" w:eastAsia="宋体" w:hAnsi="Calibri" w:cs="Calibri"/>
          <w:kern w:val="0"/>
          <w:sz w:val="24"/>
          <w:szCs w:val="24"/>
        </w:rPr>
        <w:t>30</w:t>
      </w:r>
      <w:r w:rsidRPr="006E4D42">
        <w:rPr>
          <w:rFonts w:cs="宋体" w:hint="eastAsia"/>
          <w:kern w:val="0"/>
          <w:sz w:val="24"/>
          <w:szCs w:val="24"/>
        </w:rPr>
        <w:t>号公布，根据</w:t>
      </w:r>
      <w:r w:rsidRPr="006E4D42">
        <w:rPr>
          <w:rFonts w:ascii="Calibri" w:eastAsia="宋体" w:hAnsi="Calibri" w:cs="Calibri"/>
          <w:kern w:val="0"/>
          <w:sz w:val="24"/>
          <w:szCs w:val="24"/>
        </w:rPr>
        <w:t>2013</w:t>
      </w:r>
      <w:r w:rsidRPr="006E4D42">
        <w:rPr>
          <w:rFonts w:cs="宋体" w:hint="eastAsia"/>
          <w:kern w:val="0"/>
          <w:sz w:val="24"/>
          <w:szCs w:val="24"/>
        </w:rPr>
        <w:t>年</w:t>
      </w:r>
      <w:r w:rsidRPr="006E4D42">
        <w:rPr>
          <w:rFonts w:ascii="Calibri" w:eastAsia="宋体" w:hAnsi="Calibri" w:cs="Calibri"/>
          <w:kern w:val="0"/>
          <w:sz w:val="24"/>
          <w:szCs w:val="24"/>
        </w:rPr>
        <w:t>8</w:t>
      </w:r>
      <w:r w:rsidRPr="006E4D42">
        <w:rPr>
          <w:rFonts w:cs="宋体" w:hint="eastAsia"/>
          <w:kern w:val="0"/>
          <w:sz w:val="24"/>
          <w:szCs w:val="24"/>
        </w:rPr>
        <w:t>月</w:t>
      </w:r>
      <w:r w:rsidRPr="006E4D42">
        <w:rPr>
          <w:rFonts w:ascii="Calibri" w:eastAsia="宋体" w:hAnsi="Calibri" w:cs="Calibri"/>
          <w:kern w:val="0"/>
          <w:sz w:val="24"/>
          <w:szCs w:val="24"/>
        </w:rPr>
        <w:t>29</w:t>
      </w:r>
      <w:r w:rsidRPr="006E4D42">
        <w:rPr>
          <w:rFonts w:cs="宋体" w:hint="eastAsia"/>
          <w:kern w:val="0"/>
          <w:sz w:val="24"/>
          <w:szCs w:val="24"/>
        </w:rPr>
        <w:t>日国家安全监管总局令第</w:t>
      </w:r>
      <w:r w:rsidRPr="006E4D42">
        <w:rPr>
          <w:rFonts w:ascii="Calibri" w:eastAsia="宋体" w:hAnsi="Calibri" w:cs="Calibri"/>
          <w:kern w:val="0"/>
          <w:sz w:val="24"/>
          <w:szCs w:val="24"/>
        </w:rPr>
        <w:t>63</w:t>
      </w:r>
      <w:r w:rsidRPr="006E4D42">
        <w:rPr>
          <w:rFonts w:cs="宋体" w:hint="eastAsia"/>
          <w:kern w:val="0"/>
          <w:sz w:val="24"/>
          <w:szCs w:val="24"/>
        </w:rPr>
        <w:t>号第一次修正，根据</w:t>
      </w:r>
      <w:r w:rsidRPr="006E4D42">
        <w:rPr>
          <w:rFonts w:ascii="Calibri" w:eastAsia="宋体" w:hAnsi="Calibri" w:cs="Calibri"/>
          <w:kern w:val="0"/>
          <w:sz w:val="24"/>
          <w:szCs w:val="24"/>
        </w:rPr>
        <w:t>2015</w:t>
      </w:r>
      <w:r w:rsidRPr="006E4D42">
        <w:rPr>
          <w:rFonts w:cs="宋体" w:hint="eastAsia"/>
          <w:kern w:val="0"/>
          <w:sz w:val="24"/>
          <w:szCs w:val="24"/>
        </w:rPr>
        <w:t>年</w:t>
      </w:r>
      <w:r w:rsidRPr="006E4D42">
        <w:rPr>
          <w:rFonts w:ascii="Calibri" w:eastAsia="宋体" w:hAnsi="Calibri" w:cs="Calibri"/>
          <w:kern w:val="0"/>
          <w:sz w:val="24"/>
          <w:szCs w:val="24"/>
        </w:rPr>
        <w:t>5</w:t>
      </w:r>
      <w:r w:rsidRPr="006E4D42">
        <w:rPr>
          <w:rFonts w:cs="宋体" w:hint="eastAsia"/>
          <w:kern w:val="0"/>
          <w:sz w:val="24"/>
          <w:szCs w:val="24"/>
        </w:rPr>
        <w:t>月</w:t>
      </w:r>
      <w:r w:rsidRPr="006E4D42">
        <w:rPr>
          <w:rFonts w:ascii="Calibri" w:eastAsia="宋体" w:hAnsi="Calibri" w:cs="Calibri"/>
          <w:kern w:val="0"/>
          <w:sz w:val="24"/>
          <w:szCs w:val="24"/>
        </w:rPr>
        <w:t>29</w:t>
      </w:r>
      <w:r w:rsidRPr="006E4D42">
        <w:rPr>
          <w:rFonts w:cs="宋体" w:hint="eastAsia"/>
          <w:kern w:val="0"/>
          <w:sz w:val="24"/>
          <w:szCs w:val="24"/>
        </w:rPr>
        <w:t>日国家安全监管总局令第</w:t>
      </w:r>
      <w:r w:rsidRPr="006E4D42">
        <w:rPr>
          <w:rFonts w:ascii="Calibri" w:eastAsia="宋体" w:hAnsi="Calibri" w:cs="Calibri"/>
          <w:kern w:val="0"/>
          <w:sz w:val="24"/>
          <w:szCs w:val="24"/>
        </w:rPr>
        <w:t>80</w:t>
      </w:r>
      <w:r w:rsidRPr="006E4D42">
        <w:rPr>
          <w:rFonts w:cs="宋体" w:hint="eastAsia"/>
          <w:kern w:val="0"/>
          <w:sz w:val="24"/>
          <w:szCs w:val="24"/>
        </w:rPr>
        <w:t>号第二次修正）</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 </w:t>
      </w:r>
    </w:p>
    <w:p w:rsidR="006E4D42" w:rsidRPr="006E4D42" w:rsidRDefault="006E4D42" w:rsidP="00693BB6">
      <w:pPr>
        <w:widowControl/>
        <w:spacing w:afterLines="100" w:line="380" w:lineRule="exact"/>
        <w:ind w:firstLineChars="200" w:firstLine="480"/>
        <w:jc w:val="center"/>
        <w:rPr>
          <w:rFonts w:ascii="宋体" w:eastAsia="宋体" w:hAnsi="宋体" w:cs="宋体"/>
          <w:kern w:val="0"/>
          <w:sz w:val="24"/>
          <w:szCs w:val="24"/>
        </w:rPr>
      </w:pPr>
      <w:r w:rsidRPr="006E4D42">
        <w:rPr>
          <w:rFonts w:cs="宋体" w:hint="eastAsia"/>
          <w:b/>
          <w:kern w:val="0"/>
          <w:sz w:val="24"/>
          <w:szCs w:val="24"/>
        </w:rPr>
        <w:t>第一章总则</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第一条为了规范特种作业人员的安全技术培训考核工作，提高特种作业人员的安全技术水平，防止和减少伤亡事故，根据《安全生产法》、《行政许可法》等有关法律、行政法规，制定本规定。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第二条生产经营单位特种作业人员的安全技术培训、考核、发证、复审及其监督管理工作，适用本规定。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有关法律、行政法规和国务院对有关特种作业人员管理另有规定的，从其规定。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lastRenderedPageBreak/>
        <w:t>第三条本规定所称特种作业，是指容易发生事故，对操作者本人、他人的安全健康及设备、设施的安全可能造成重大危害的作业。特种作业的范围由特种作业目录规定。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本规定所称特种作业人员，是指直接从事特种作业的从业人员。</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第四条特种作业人员应当符合下列条件：</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（一）年满</w:t>
      </w:r>
      <w:r w:rsidRPr="006E4D42">
        <w:rPr>
          <w:rFonts w:ascii="Calibri" w:eastAsia="宋体" w:hAnsi="Calibri" w:cs="Calibri"/>
          <w:kern w:val="0"/>
          <w:sz w:val="24"/>
          <w:szCs w:val="24"/>
        </w:rPr>
        <w:t>18</w:t>
      </w:r>
      <w:r w:rsidRPr="006E4D42">
        <w:rPr>
          <w:rFonts w:cs="宋体" w:hint="eastAsia"/>
          <w:kern w:val="0"/>
          <w:sz w:val="24"/>
          <w:szCs w:val="24"/>
        </w:rPr>
        <w:t>周岁，且不超过国家法定退休年龄；</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（二）经社区或者县级以上医疗机构体检健康合格，并无妨碍从事相应特种作业的器质性心脏病、癫痫病、美尼尔氏症、眩晕症、癔病、震颤麻痹症、精神病、痴呆症以及其他疾病和生理缺陷；</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（三）具有初中及以上文化程度；</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（四）具备必要的安全技术知识与技能；</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（五）相应特种作业规定的其他条件。</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危险化学品特种作业人员除符合前款第一项、第二项、第四项和第五项规定的条件外，应当具备高中或者相当于高中及以上文化程度。</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第五条特种作业人员必须经专门的安全技术培训并考核合格，取得《中华人民共和国特种作业操作证》（以下简称特种作业操作证）后，方可上岗作业。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第六条特种作业人员的安全技术培训、考核、发证、复审工作实行统一监管、分级实施、教考分离的原则。</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第七条国家安全生产监督管理总局（以下简称安全监管总局）指导、监督全国特种作业人员的安全技术培训、考核、发证、复审工作；省、自治区、直辖市人民政府安全生产监督管理部门指导、监督本行政区域特种作业人员的安全技术培训工作，负责本行政区域特种作业人员的考核、发证、复审工作；县级以上地方人民政府安全生产监督管理部门负责监督检查本行政区域特种作业人员的安全技术培训和持证上岗工作。</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国家煤矿安全监察局（以下简称煤矿安监局）指导、监督全国煤矿特种作业人员（含煤矿矿井使用的特种设备作业人员）的安全技术培训、考核、发证、复</w:t>
      </w:r>
      <w:r w:rsidRPr="006E4D42">
        <w:rPr>
          <w:rFonts w:cs="宋体" w:hint="eastAsia"/>
          <w:kern w:val="0"/>
          <w:sz w:val="24"/>
          <w:szCs w:val="24"/>
        </w:rPr>
        <w:lastRenderedPageBreak/>
        <w:t>审工作；省、自治区、直辖市人民政府负责煤矿特种作业人员考核发证工作的部门或者指定的机构指导、监督本行政区域煤矿特种作业人员的安全技术培训工作，负责本行政区域煤矿特种作业人员的考核、发证、复审工作。</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省、自治区、直辖市人民政府安全生产监督管理部门和负责煤矿特种作业人员考核发证工作的部门或者指定的机构（以下统称考核发证机关）可以委托设区的市人民政府安全生产监督管理部门和负责煤矿特种作业人员考核发证工作的部门或者指定的机构实施特种作业人员的考核、发证、复审工作。</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第八条对特种作业人员安全技术培训、考核、发证、复审工作中的违法行为，任何单位和个人均有权向安全监管总局、煤矿安监局和省、自治区、直辖市及设区的市人民政府安全生产监督管理部门、负责煤矿特种作业人员考核发证工作的部门或者指定的机构举报。</w:t>
      </w:r>
    </w:p>
    <w:p w:rsidR="006E4D42" w:rsidRPr="006E4D42" w:rsidRDefault="006E4D42" w:rsidP="00693BB6">
      <w:pPr>
        <w:widowControl/>
        <w:spacing w:afterLines="100" w:line="380" w:lineRule="exact"/>
        <w:ind w:firstLineChars="200" w:firstLine="480"/>
        <w:jc w:val="center"/>
        <w:rPr>
          <w:rFonts w:ascii="宋体" w:eastAsia="宋体" w:hAnsi="宋体" w:cs="宋体"/>
          <w:kern w:val="0"/>
          <w:sz w:val="24"/>
          <w:szCs w:val="24"/>
        </w:rPr>
      </w:pPr>
      <w:r w:rsidRPr="006E4D42">
        <w:rPr>
          <w:rFonts w:cs="宋体" w:hint="eastAsia"/>
          <w:b/>
          <w:kern w:val="0"/>
          <w:sz w:val="24"/>
          <w:szCs w:val="24"/>
        </w:rPr>
        <w:t>第二章培训</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第九条特种作业人员应当接受与其所从事的特种作业相应的安全技术理论培训和实际操作培训。</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已经取得职业高中、技工学校及中专以上学历的毕业生从事与其所学专业相应的特种作业，持学历证明经考核发证机关同意，可以免予相关专业的培训。</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跨省、自治区、直辖市从业的特种作业人员，可以在户籍所在地或者从业所在地参加培训。</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第十条对特种作业人员的安全技术培训，具备安全培训条件的生产经营单位应当以自主培训为主，也可以委托具备安全培训条件的机构进行培训。</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不具备安全培训条件的生产经营单位，应当委托具备安全培训条件的机构进行培训。</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生产经营单位委托其他机构进行特种作业人员安全技术培训的，保证安全技术培训的责任仍由本单位负责。</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第十一条从事特种作业人员安全技术培训的机构（以下统称培训机构），应当制定相应的培训计划、教学安排，并按照安全监管总局、煤矿安监局制定的特种作业人员培训大纲和煤矿特种作业人员培训大纲进行特种作业人员的安全技术培训。</w:t>
      </w:r>
    </w:p>
    <w:p w:rsidR="006E4D42" w:rsidRPr="006E4D42" w:rsidRDefault="006E4D42" w:rsidP="00693BB6">
      <w:pPr>
        <w:widowControl/>
        <w:spacing w:afterLines="100" w:line="380" w:lineRule="exact"/>
        <w:ind w:firstLineChars="200" w:firstLine="480"/>
        <w:jc w:val="center"/>
        <w:rPr>
          <w:rFonts w:ascii="宋体" w:eastAsia="宋体" w:hAnsi="宋体" w:cs="宋体"/>
          <w:kern w:val="0"/>
          <w:sz w:val="24"/>
          <w:szCs w:val="24"/>
        </w:rPr>
      </w:pPr>
      <w:r w:rsidRPr="006E4D42">
        <w:rPr>
          <w:rFonts w:cs="宋体" w:hint="eastAsia"/>
          <w:b/>
          <w:kern w:val="0"/>
          <w:sz w:val="24"/>
          <w:szCs w:val="24"/>
        </w:rPr>
        <w:lastRenderedPageBreak/>
        <w:t>第三章考核发证</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第十二条特种作业人员的考核包括考试和审核两部分。考试由考核发证机关或其委托的单位负责；审核由考核发证机关负责。</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安全监管总局、煤矿安监局分别制定特种作业人员、煤矿特种作业人员的考核标准，并建立相应的考试题库。</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考核发证机关或其委托的单位应当按照安全监管总局、煤矿安监局统一制定的考核标准进行考核。</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第十三条参加特种作业操作资格考试的人员，应当填写考试申请表，由申请人或者申请人的用人单位持学历证明或者培训机构出具的培训证明向申请人户籍所在地或者从业所在地的考核发证机关或其委托的单位提出申请。</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考核发证机关或其委托的单位收到申请后，应当在</w:t>
      </w:r>
      <w:r w:rsidRPr="006E4D42">
        <w:rPr>
          <w:rFonts w:ascii="Calibri" w:eastAsia="宋体" w:hAnsi="Calibri" w:cs="Calibri"/>
          <w:kern w:val="0"/>
          <w:sz w:val="24"/>
          <w:szCs w:val="24"/>
        </w:rPr>
        <w:t>60</w:t>
      </w:r>
      <w:r w:rsidRPr="006E4D42">
        <w:rPr>
          <w:rFonts w:cs="宋体" w:hint="eastAsia"/>
          <w:kern w:val="0"/>
          <w:sz w:val="24"/>
          <w:szCs w:val="24"/>
        </w:rPr>
        <w:t>日内组织考试。</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特种作业操作资格考试包括安全技术理论考试和实际操作考试两部分。考试不及格的，允许补考</w:t>
      </w:r>
      <w:r w:rsidRPr="006E4D42">
        <w:rPr>
          <w:rFonts w:ascii="Calibri" w:eastAsia="宋体" w:hAnsi="Calibri" w:cs="Calibri"/>
          <w:kern w:val="0"/>
          <w:sz w:val="24"/>
          <w:szCs w:val="24"/>
        </w:rPr>
        <w:t>1</w:t>
      </w:r>
      <w:r w:rsidRPr="006E4D42">
        <w:rPr>
          <w:rFonts w:cs="宋体" w:hint="eastAsia"/>
          <w:kern w:val="0"/>
          <w:sz w:val="24"/>
          <w:szCs w:val="24"/>
        </w:rPr>
        <w:t>次。经补考仍不及格的，重新参加相应的安全技术培训。</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第十四条考核发证机关委托承担特种作业操作资格考试的单位应当具备相应的场所、设施、设备等条件，建立相应的管理制度，并公布收费标准等信息。</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第十五条考核发证机关或其委托承担特种作业操作资格考试的单位，应当在考试结束后</w:t>
      </w:r>
      <w:r w:rsidRPr="006E4D42">
        <w:rPr>
          <w:rFonts w:ascii="Calibri" w:eastAsia="宋体" w:hAnsi="Calibri" w:cs="Calibri"/>
          <w:kern w:val="0"/>
          <w:sz w:val="24"/>
          <w:szCs w:val="24"/>
        </w:rPr>
        <w:t>10</w:t>
      </w:r>
      <w:r w:rsidRPr="006E4D42">
        <w:rPr>
          <w:rFonts w:cs="宋体" w:hint="eastAsia"/>
          <w:kern w:val="0"/>
          <w:sz w:val="24"/>
          <w:szCs w:val="24"/>
        </w:rPr>
        <w:t>个工作日内公布考试成绩。</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第十六条符合本规定第四条规定并经考试合格的特种作业人员，应当向其户籍所在地或者从业所在地的考核发证机关申请办理特种作业操作证，并提交身份证复印件、学历证书复印件、体检证明、考试合格证明等材料。</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第十七条收到申请的考核发证机关应当在</w:t>
      </w:r>
      <w:r w:rsidRPr="006E4D42">
        <w:rPr>
          <w:rFonts w:ascii="Calibri" w:eastAsia="宋体" w:hAnsi="Calibri" w:cs="Calibri"/>
          <w:kern w:val="0"/>
          <w:sz w:val="24"/>
          <w:szCs w:val="24"/>
        </w:rPr>
        <w:t>5</w:t>
      </w:r>
      <w:r w:rsidRPr="006E4D42">
        <w:rPr>
          <w:rFonts w:cs="宋体" w:hint="eastAsia"/>
          <w:kern w:val="0"/>
          <w:sz w:val="24"/>
          <w:szCs w:val="24"/>
        </w:rPr>
        <w:t>个工作日内完成对特种作业人员所提交申请材料的审查，作出受理或者不予受理的决定。能够当场作出受理决定的，应当当场作出受理决定；申请材料不齐全或者不符合要求的，应当当场或者在</w:t>
      </w:r>
      <w:r w:rsidRPr="006E4D42">
        <w:rPr>
          <w:rFonts w:ascii="Calibri" w:eastAsia="宋体" w:hAnsi="Calibri" w:cs="Calibri"/>
          <w:kern w:val="0"/>
          <w:sz w:val="24"/>
          <w:szCs w:val="24"/>
        </w:rPr>
        <w:t>5</w:t>
      </w:r>
      <w:r w:rsidRPr="006E4D42">
        <w:rPr>
          <w:rFonts w:cs="宋体" w:hint="eastAsia"/>
          <w:kern w:val="0"/>
          <w:sz w:val="24"/>
          <w:szCs w:val="24"/>
        </w:rPr>
        <w:t>个工作日内一次告知申请人需要补正的全部内容，逾期不告知的，视为自收到申请材料之日起即已被受理。</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第十八条对已经受理的申请，考核发证机关应当在</w:t>
      </w:r>
      <w:r w:rsidRPr="006E4D42">
        <w:rPr>
          <w:rFonts w:ascii="Calibri" w:eastAsia="宋体" w:hAnsi="Calibri" w:cs="Calibri"/>
          <w:kern w:val="0"/>
          <w:sz w:val="24"/>
          <w:szCs w:val="24"/>
        </w:rPr>
        <w:t>20</w:t>
      </w:r>
      <w:r w:rsidRPr="006E4D42">
        <w:rPr>
          <w:rFonts w:cs="宋体" w:hint="eastAsia"/>
          <w:kern w:val="0"/>
          <w:sz w:val="24"/>
          <w:szCs w:val="24"/>
        </w:rPr>
        <w:t>个工作日内完成审核工作。符合条件的，颁发特种作业操作证；不符合条件的，应当说明理由。</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lastRenderedPageBreak/>
        <w:t>第十九条特种作业操作证有效期为</w:t>
      </w:r>
      <w:r w:rsidRPr="006E4D42">
        <w:rPr>
          <w:rFonts w:ascii="Calibri" w:eastAsia="宋体" w:hAnsi="Calibri" w:cs="Calibri"/>
          <w:kern w:val="0"/>
          <w:sz w:val="24"/>
          <w:szCs w:val="24"/>
        </w:rPr>
        <w:t>6</w:t>
      </w:r>
      <w:r w:rsidRPr="006E4D42">
        <w:rPr>
          <w:rFonts w:cs="宋体" w:hint="eastAsia"/>
          <w:kern w:val="0"/>
          <w:sz w:val="24"/>
          <w:szCs w:val="24"/>
        </w:rPr>
        <w:t>年，在全国范围内有效。</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特种作业操作证由安全监管总局统一式样、标准及编号。</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第二十条特种作业操作证遗失的，应当向原考核发证机关提出书面申请，经原考核发证机关审查同意后，予以补发。</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特种作业操作证所记载的信息发生变化或者损毁的，应当向原考核发证机关提出书面申请，经原考核发证机关审查确认后，予以更换或者更新。</w:t>
      </w:r>
    </w:p>
    <w:p w:rsidR="006E4D42" w:rsidRPr="006E4D42" w:rsidRDefault="006E4D42" w:rsidP="00693BB6">
      <w:pPr>
        <w:widowControl/>
        <w:spacing w:afterLines="100" w:line="380" w:lineRule="exact"/>
        <w:ind w:firstLineChars="200" w:firstLine="480"/>
        <w:jc w:val="center"/>
        <w:rPr>
          <w:rFonts w:ascii="宋体" w:eastAsia="宋体" w:hAnsi="宋体" w:cs="宋体"/>
          <w:kern w:val="0"/>
          <w:sz w:val="24"/>
          <w:szCs w:val="24"/>
        </w:rPr>
      </w:pPr>
      <w:r w:rsidRPr="006E4D42">
        <w:rPr>
          <w:rFonts w:cs="宋体" w:hint="eastAsia"/>
          <w:b/>
          <w:kern w:val="0"/>
          <w:sz w:val="24"/>
          <w:szCs w:val="24"/>
        </w:rPr>
        <w:t>第四章复审</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第二十一条特种作业操作证每</w:t>
      </w:r>
      <w:r w:rsidRPr="006E4D42">
        <w:rPr>
          <w:rFonts w:ascii="Calibri" w:eastAsia="宋体" w:hAnsi="Calibri" w:cs="Calibri"/>
          <w:kern w:val="0"/>
          <w:sz w:val="24"/>
          <w:szCs w:val="24"/>
        </w:rPr>
        <w:t>3</w:t>
      </w:r>
      <w:r w:rsidRPr="006E4D42">
        <w:rPr>
          <w:rFonts w:cs="宋体" w:hint="eastAsia"/>
          <w:kern w:val="0"/>
          <w:sz w:val="24"/>
          <w:szCs w:val="24"/>
        </w:rPr>
        <w:t>年复审</w:t>
      </w:r>
      <w:r w:rsidRPr="006E4D42">
        <w:rPr>
          <w:rFonts w:ascii="Calibri" w:eastAsia="宋体" w:hAnsi="Calibri" w:cs="Calibri"/>
          <w:kern w:val="0"/>
          <w:sz w:val="24"/>
          <w:szCs w:val="24"/>
        </w:rPr>
        <w:t>1</w:t>
      </w:r>
      <w:r w:rsidRPr="006E4D42">
        <w:rPr>
          <w:rFonts w:cs="宋体" w:hint="eastAsia"/>
          <w:kern w:val="0"/>
          <w:sz w:val="24"/>
          <w:szCs w:val="24"/>
        </w:rPr>
        <w:t>次。</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特种作业人员在特种作业操作证有效期内，连续从事本工种</w:t>
      </w:r>
      <w:r w:rsidRPr="006E4D42">
        <w:rPr>
          <w:rFonts w:ascii="Calibri" w:eastAsia="宋体" w:hAnsi="Calibri" w:cs="Calibri"/>
          <w:kern w:val="0"/>
          <w:sz w:val="24"/>
          <w:szCs w:val="24"/>
        </w:rPr>
        <w:t>10</w:t>
      </w:r>
      <w:r w:rsidRPr="006E4D42">
        <w:rPr>
          <w:rFonts w:cs="宋体" w:hint="eastAsia"/>
          <w:kern w:val="0"/>
          <w:sz w:val="24"/>
          <w:szCs w:val="24"/>
        </w:rPr>
        <w:t>年以上，严格遵守有关安全生产法律法规的，经原考核发证机关或者从业所在地考核发证机关同意，特种作业操作证的复审时间可以延长至每</w:t>
      </w:r>
      <w:r w:rsidRPr="006E4D42">
        <w:rPr>
          <w:rFonts w:ascii="Calibri" w:eastAsia="宋体" w:hAnsi="Calibri" w:cs="Calibri"/>
          <w:kern w:val="0"/>
          <w:sz w:val="24"/>
          <w:szCs w:val="24"/>
        </w:rPr>
        <w:t>6</w:t>
      </w:r>
      <w:r w:rsidRPr="006E4D42">
        <w:rPr>
          <w:rFonts w:cs="宋体" w:hint="eastAsia"/>
          <w:kern w:val="0"/>
          <w:sz w:val="24"/>
          <w:szCs w:val="24"/>
        </w:rPr>
        <w:t>年</w:t>
      </w:r>
      <w:r w:rsidRPr="006E4D42">
        <w:rPr>
          <w:rFonts w:ascii="Calibri" w:eastAsia="宋体" w:hAnsi="Calibri" w:cs="Calibri"/>
          <w:kern w:val="0"/>
          <w:sz w:val="24"/>
          <w:szCs w:val="24"/>
        </w:rPr>
        <w:t>1</w:t>
      </w:r>
      <w:r w:rsidRPr="006E4D42">
        <w:rPr>
          <w:rFonts w:cs="宋体" w:hint="eastAsia"/>
          <w:kern w:val="0"/>
          <w:sz w:val="24"/>
          <w:szCs w:val="24"/>
        </w:rPr>
        <w:t>次。</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第二十二条特种作业操作证需要复审的，应当在期满前</w:t>
      </w:r>
      <w:r w:rsidRPr="006E4D42">
        <w:rPr>
          <w:rFonts w:ascii="Calibri" w:eastAsia="宋体" w:hAnsi="Calibri" w:cs="Calibri"/>
          <w:kern w:val="0"/>
          <w:sz w:val="24"/>
          <w:szCs w:val="24"/>
        </w:rPr>
        <w:t>60</w:t>
      </w:r>
      <w:r w:rsidRPr="006E4D42">
        <w:rPr>
          <w:rFonts w:cs="宋体" w:hint="eastAsia"/>
          <w:kern w:val="0"/>
          <w:sz w:val="24"/>
          <w:szCs w:val="24"/>
        </w:rPr>
        <w:t>日内，由申请人或者申请人的用人单位向原考核发证机关或者从业所在地考核发证机关提出申请，并提交下列材料：</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（一）社区或者县级以上医疗机构出具的健康证明；</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（二）从事特种作业的情况；</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（三）安全培训考试合格记录。</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特种作业操作证有效期届满需要延期换证的，应当按照前款的规定申请延期复审。</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第二十三条特种作业操作证申请复审或者延期复审前，特种作业人员应当参加必要的安全培训并考试合格。</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安全培训时间不少于</w:t>
      </w:r>
      <w:r w:rsidRPr="006E4D42">
        <w:rPr>
          <w:rFonts w:ascii="Calibri" w:eastAsia="宋体" w:hAnsi="Calibri" w:cs="Calibri"/>
          <w:kern w:val="0"/>
          <w:sz w:val="24"/>
          <w:szCs w:val="24"/>
        </w:rPr>
        <w:t>8</w:t>
      </w:r>
      <w:r w:rsidRPr="006E4D42">
        <w:rPr>
          <w:rFonts w:cs="宋体" w:hint="eastAsia"/>
          <w:kern w:val="0"/>
          <w:sz w:val="24"/>
          <w:szCs w:val="24"/>
        </w:rPr>
        <w:t>个学时，主要培训法律、法规、标准、事故案例和有关新工艺、新技术、新装备等知识。</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lastRenderedPageBreak/>
        <w:t>第二十四条申请复审的，考核发证机关应当在收到申请之日起</w:t>
      </w:r>
      <w:r w:rsidRPr="006E4D42">
        <w:rPr>
          <w:rFonts w:ascii="Calibri" w:eastAsia="宋体" w:hAnsi="Calibri" w:cs="Calibri"/>
          <w:kern w:val="0"/>
          <w:sz w:val="24"/>
          <w:szCs w:val="24"/>
        </w:rPr>
        <w:t>20</w:t>
      </w:r>
      <w:r w:rsidRPr="006E4D42">
        <w:rPr>
          <w:rFonts w:cs="宋体" w:hint="eastAsia"/>
          <w:kern w:val="0"/>
          <w:sz w:val="24"/>
          <w:szCs w:val="24"/>
        </w:rPr>
        <w:t>个工作日内完成复审工作。复审合格的，由考核发证机关签章、登记，予以确认；不合格的，说明理由。</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申请延期复审的，经复审合格后，由考核发证机关重新颁发特种作业操作证。</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第二十五条特种作业人员有下列情形之一的，复审或者延期复审不予通过：</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（一）健康体检不合格的；</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（二）违章操作造成严重后果或者有</w:t>
      </w:r>
      <w:r w:rsidRPr="006E4D42">
        <w:rPr>
          <w:rFonts w:ascii="Calibri" w:eastAsia="宋体" w:hAnsi="Calibri" w:cs="Calibri"/>
          <w:kern w:val="0"/>
          <w:sz w:val="24"/>
          <w:szCs w:val="24"/>
        </w:rPr>
        <w:t>2</w:t>
      </w:r>
      <w:r w:rsidRPr="006E4D42">
        <w:rPr>
          <w:rFonts w:cs="宋体" w:hint="eastAsia"/>
          <w:kern w:val="0"/>
          <w:sz w:val="24"/>
          <w:szCs w:val="24"/>
        </w:rPr>
        <w:t>次以上违章行为，并经查证确实的；</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（三）有安全生产违法行为，并给予行政处罚的；</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（四）拒绝、阻碍安全生产监管监察部门监督检查的；</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（五）未按规定参加安全培训，或者考试不合格的；</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（六）具有本规定第三十条、第三十一条规定情形的。</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第二十六条特种作业操作证复审或者延期复审符合本规定第二十五条第二项、第三项、第四项、第五项情形的，按照本规定经重新安全培训考试合格后，再办理复审或者延期复审手续。</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再复审、延期复审仍不合格，或者未按期复审的，特种作业操作证失效。</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第二十七条申请人对复审或者延期复审有异议的，可以依法申请行政复议或者提起行政诉讼。</w:t>
      </w:r>
    </w:p>
    <w:p w:rsidR="006E4D42" w:rsidRPr="006E4D42" w:rsidRDefault="006E4D42" w:rsidP="00693BB6">
      <w:pPr>
        <w:widowControl/>
        <w:spacing w:afterLines="100" w:line="380" w:lineRule="exact"/>
        <w:ind w:firstLineChars="200" w:firstLine="480"/>
        <w:jc w:val="center"/>
        <w:rPr>
          <w:rFonts w:ascii="宋体" w:eastAsia="宋体" w:hAnsi="宋体" w:cs="宋体"/>
          <w:kern w:val="0"/>
          <w:sz w:val="24"/>
          <w:szCs w:val="24"/>
        </w:rPr>
      </w:pPr>
      <w:r w:rsidRPr="006E4D42">
        <w:rPr>
          <w:rFonts w:cs="宋体" w:hint="eastAsia"/>
          <w:b/>
          <w:kern w:val="0"/>
          <w:sz w:val="24"/>
          <w:szCs w:val="24"/>
        </w:rPr>
        <w:t>第五章监督管理</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第二十八条考核发证机关或其委托的单位及其工作人员应当忠于职守、坚持原则、廉洁自律，按照法律、法规、规章的规定进行特种作业人员的考核、发证、复审工作，接受社会的监督。</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第二十九条考核发证机关应当加强对特种作业人员的监督检查，发现其具有本规定第三十条规定情形的，及时撤销特种作业操作证；对依法应当给予行政处</w:t>
      </w:r>
      <w:r w:rsidRPr="006E4D42">
        <w:rPr>
          <w:rFonts w:cs="宋体" w:hint="eastAsia"/>
          <w:kern w:val="0"/>
          <w:sz w:val="24"/>
          <w:szCs w:val="24"/>
        </w:rPr>
        <w:lastRenderedPageBreak/>
        <w:t>罚的安全生产违法行为，按照有关规定依法对生产经营单位及其特种作业人员实施行政处罚。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考核发证机关应当建立特种作业人员管理信息系统，方便用人单位和社会公众查询；对于注销特种作业操作证的特种作业人员，应当及时向社会公告。</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第三十条有下列情形之一的，考核发证机关应当撤销特种作业操作证：</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（一）超过特种作业操作证有效期未延期复审的；</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（二）特种作业人员的身体条件已不适合继续从事特种作业的；</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（三）对发生生产安全事故负有责任的；</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（四）特种作业操作证记载虚假信息的；</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（五）以欺骗、贿赂等不正当手段取得特种作业操作证的。</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特种作业人员违反前款第四项、第五项规定的，</w:t>
      </w:r>
      <w:r w:rsidRPr="006E4D42">
        <w:rPr>
          <w:rFonts w:ascii="Calibri" w:eastAsia="宋体" w:hAnsi="Calibri" w:cs="Calibri"/>
          <w:kern w:val="0"/>
          <w:sz w:val="24"/>
          <w:szCs w:val="24"/>
        </w:rPr>
        <w:t>3</w:t>
      </w:r>
      <w:r w:rsidRPr="006E4D42">
        <w:rPr>
          <w:rFonts w:cs="宋体" w:hint="eastAsia"/>
          <w:kern w:val="0"/>
          <w:sz w:val="24"/>
          <w:szCs w:val="24"/>
        </w:rPr>
        <w:t>年内不得再次申请特种作业操作证。</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第三十一条有下列情形之一的，考核发证机关应当注销特种作业操作证：</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（一）特种作业人员死亡的；</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（二）特种作业人员提出注销申请的；</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（三）特种作业操作证被依法撤销的。</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第三十二条离开特种作业岗位</w:t>
      </w:r>
      <w:r w:rsidRPr="006E4D42">
        <w:rPr>
          <w:rFonts w:ascii="Calibri" w:eastAsia="宋体" w:hAnsi="Calibri" w:cs="Calibri"/>
          <w:kern w:val="0"/>
          <w:sz w:val="24"/>
          <w:szCs w:val="24"/>
        </w:rPr>
        <w:t>6</w:t>
      </w:r>
      <w:r w:rsidRPr="006E4D42">
        <w:rPr>
          <w:rFonts w:cs="宋体" w:hint="eastAsia"/>
          <w:kern w:val="0"/>
          <w:sz w:val="24"/>
          <w:szCs w:val="24"/>
        </w:rPr>
        <w:t>个月以上的特种作业人员，应当重新进行实际操作考试，经确认合格后方可上岗作业。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第三十三条省、自治区、直辖市人民政府安全生产监督管理部门和负责煤矿特种作业人员考核发证工作的部门或者指定的机构应当每年分别向安全监管总局、煤矿安监局报告特种作业人员的考核发证情况。</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lastRenderedPageBreak/>
        <w:t>第三十四条生产经营单位应当加强对本单位特种作业人员的管理，建立健全特种作业人员培训、复审档案，做好申报、培训、考核、复审的组织工作和日常的检查工作。</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第三十五条特种作业人员在劳动合同期满后变动工作单位的，原工作单位不得以任何理由扣押其特种作业操作证。</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跨省、自治区、直辖市从业的特种作业人员应当接受从业所在地考核发证机关的监督管理。</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第三十六条生产经营单位不得印制、伪造、倒卖特种作业操作证，或者使用非法印制、伪造、倒卖的特种作业操作证。</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特种作业人员不得伪造、涂改、转借、转让、冒用特种作业操作证或者使用伪造的特种作业操作证。</w:t>
      </w:r>
    </w:p>
    <w:p w:rsidR="006E4D42" w:rsidRPr="006E4D42" w:rsidRDefault="006E4D42" w:rsidP="00693BB6">
      <w:pPr>
        <w:widowControl/>
        <w:spacing w:afterLines="100" w:line="380" w:lineRule="exact"/>
        <w:ind w:firstLineChars="200" w:firstLine="480"/>
        <w:jc w:val="center"/>
        <w:rPr>
          <w:rFonts w:ascii="宋体" w:eastAsia="宋体" w:hAnsi="宋体" w:cs="宋体"/>
          <w:kern w:val="0"/>
          <w:sz w:val="24"/>
          <w:szCs w:val="24"/>
        </w:rPr>
      </w:pPr>
      <w:r w:rsidRPr="006E4D42">
        <w:rPr>
          <w:rFonts w:cs="宋体" w:hint="eastAsia"/>
          <w:b/>
          <w:kern w:val="0"/>
          <w:sz w:val="24"/>
          <w:szCs w:val="24"/>
        </w:rPr>
        <w:t>第六章罚则</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第三十七条考核发证机关或其委托的单位及其工作人员在特种作业人员考核、发证和复审工作中滥用职权、玩忽职守、徇私舞弊的，依法给予行政处分；构成犯罪的，依法追究刑事责任。</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第三十八条生产经营单位未建立健全特种作业人员档案的，给予警告，并处</w:t>
      </w:r>
      <w:r w:rsidRPr="006E4D42">
        <w:rPr>
          <w:rFonts w:ascii="Calibri" w:eastAsia="宋体" w:hAnsi="Calibri" w:cs="Calibri"/>
          <w:kern w:val="0"/>
          <w:sz w:val="24"/>
          <w:szCs w:val="24"/>
        </w:rPr>
        <w:t>1</w:t>
      </w:r>
      <w:r w:rsidRPr="006E4D42">
        <w:rPr>
          <w:rFonts w:cs="宋体" w:hint="eastAsia"/>
          <w:kern w:val="0"/>
          <w:sz w:val="24"/>
          <w:szCs w:val="24"/>
        </w:rPr>
        <w:t>万元以下的罚款。</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第三十九条生产经营单位使用未取得特种作业操作证的特种作业人员上岗作业的，责令限期改正</w:t>
      </w:r>
      <w:r w:rsidRPr="006E4D42">
        <w:rPr>
          <w:rFonts w:ascii="Calibri" w:eastAsia="宋体" w:hAnsi="Calibri" w:cs="Calibri"/>
          <w:kern w:val="0"/>
          <w:sz w:val="24"/>
          <w:szCs w:val="24"/>
        </w:rPr>
        <w:t>,</w:t>
      </w:r>
      <w:r w:rsidRPr="006E4D42">
        <w:rPr>
          <w:rFonts w:cs="宋体" w:hint="eastAsia"/>
          <w:kern w:val="0"/>
          <w:sz w:val="24"/>
          <w:szCs w:val="24"/>
        </w:rPr>
        <w:t>可以处</w:t>
      </w:r>
      <w:r w:rsidRPr="006E4D42">
        <w:rPr>
          <w:rFonts w:ascii="Calibri" w:eastAsia="宋体" w:hAnsi="Calibri" w:cs="Calibri"/>
          <w:kern w:val="0"/>
          <w:sz w:val="24"/>
          <w:szCs w:val="24"/>
        </w:rPr>
        <w:t>5</w:t>
      </w:r>
      <w:r w:rsidRPr="006E4D42">
        <w:rPr>
          <w:rFonts w:cs="宋体" w:hint="eastAsia"/>
          <w:kern w:val="0"/>
          <w:sz w:val="24"/>
          <w:szCs w:val="24"/>
        </w:rPr>
        <w:t>万元以下的罚款；逾期未改正的，责令停产停业整顿，并处</w:t>
      </w:r>
      <w:r w:rsidRPr="006E4D42">
        <w:rPr>
          <w:rFonts w:ascii="Calibri" w:eastAsia="宋体" w:hAnsi="Calibri" w:cs="Calibri"/>
          <w:kern w:val="0"/>
          <w:sz w:val="24"/>
          <w:szCs w:val="24"/>
        </w:rPr>
        <w:t>5</w:t>
      </w:r>
      <w:r w:rsidRPr="006E4D42">
        <w:rPr>
          <w:rFonts w:cs="宋体" w:hint="eastAsia"/>
          <w:kern w:val="0"/>
          <w:sz w:val="24"/>
          <w:szCs w:val="24"/>
        </w:rPr>
        <w:t>万元以上</w:t>
      </w:r>
      <w:r w:rsidRPr="006E4D42">
        <w:rPr>
          <w:rFonts w:ascii="Calibri" w:eastAsia="宋体" w:hAnsi="Calibri" w:cs="Calibri"/>
          <w:kern w:val="0"/>
          <w:sz w:val="24"/>
          <w:szCs w:val="24"/>
        </w:rPr>
        <w:t>10</w:t>
      </w:r>
      <w:r w:rsidRPr="006E4D42">
        <w:rPr>
          <w:rFonts w:cs="宋体" w:hint="eastAsia"/>
          <w:kern w:val="0"/>
          <w:sz w:val="24"/>
          <w:szCs w:val="24"/>
        </w:rPr>
        <w:t>万元以下的罚款，对直接负责的主管人员和其他直接责任人员处</w:t>
      </w:r>
      <w:r w:rsidRPr="006E4D42">
        <w:rPr>
          <w:rFonts w:ascii="Calibri" w:eastAsia="宋体" w:hAnsi="Calibri" w:cs="Calibri"/>
          <w:kern w:val="0"/>
          <w:sz w:val="24"/>
          <w:szCs w:val="24"/>
        </w:rPr>
        <w:t>1</w:t>
      </w:r>
      <w:r w:rsidRPr="006E4D42">
        <w:rPr>
          <w:rFonts w:cs="宋体" w:hint="eastAsia"/>
          <w:kern w:val="0"/>
          <w:sz w:val="24"/>
          <w:szCs w:val="24"/>
        </w:rPr>
        <w:t>万元以上</w:t>
      </w:r>
      <w:r w:rsidRPr="006E4D42">
        <w:rPr>
          <w:rFonts w:ascii="Calibri" w:eastAsia="宋体" w:hAnsi="Calibri" w:cs="Calibri"/>
          <w:kern w:val="0"/>
          <w:sz w:val="24"/>
          <w:szCs w:val="24"/>
        </w:rPr>
        <w:t>2</w:t>
      </w:r>
      <w:r w:rsidRPr="006E4D42">
        <w:rPr>
          <w:rFonts w:cs="宋体" w:hint="eastAsia"/>
          <w:kern w:val="0"/>
          <w:sz w:val="24"/>
          <w:szCs w:val="24"/>
        </w:rPr>
        <w:t>万元以下的罚款。</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煤矿企业使用未取得特种作业操作证的特种作业人员上岗作业的，依照《国务院关于预防煤矿生产安全事故的特别规定》的规定处罚。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第四十条生产经营单位非法印制、伪造、倒卖特种作业操作证，或者使用非法印制、伪造、倒卖的特种作业操作证的，给予警告，并处</w:t>
      </w:r>
      <w:r w:rsidRPr="006E4D42">
        <w:rPr>
          <w:rFonts w:ascii="Calibri" w:eastAsia="宋体" w:hAnsi="Calibri" w:cs="Calibri"/>
          <w:kern w:val="0"/>
          <w:sz w:val="24"/>
          <w:szCs w:val="24"/>
        </w:rPr>
        <w:t>1</w:t>
      </w:r>
      <w:r w:rsidRPr="006E4D42">
        <w:rPr>
          <w:rFonts w:cs="宋体" w:hint="eastAsia"/>
          <w:kern w:val="0"/>
          <w:sz w:val="24"/>
          <w:szCs w:val="24"/>
        </w:rPr>
        <w:t>万元以上</w:t>
      </w:r>
      <w:r w:rsidRPr="006E4D42">
        <w:rPr>
          <w:rFonts w:ascii="Calibri" w:eastAsia="宋体" w:hAnsi="Calibri" w:cs="Calibri"/>
          <w:kern w:val="0"/>
          <w:sz w:val="24"/>
          <w:szCs w:val="24"/>
        </w:rPr>
        <w:t>3</w:t>
      </w:r>
      <w:r w:rsidRPr="006E4D42">
        <w:rPr>
          <w:rFonts w:cs="宋体" w:hint="eastAsia"/>
          <w:kern w:val="0"/>
          <w:sz w:val="24"/>
          <w:szCs w:val="24"/>
        </w:rPr>
        <w:t>万元以下的罚款；构成犯罪的，依法追究刑事责任。</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lastRenderedPageBreak/>
        <w:t>第四十一条特种作业人员伪造、涂改特种作业操作证或者使用伪造的特种作业操作证的，给予警告，并处</w:t>
      </w:r>
      <w:r w:rsidRPr="006E4D42">
        <w:rPr>
          <w:rFonts w:ascii="Calibri" w:eastAsia="宋体" w:hAnsi="Calibri" w:cs="Calibri"/>
          <w:kern w:val="0"/>
          <w:sz w:val="24"/>
          <w:szCs w:val="24"/>
        </w:rPr>
        <w:t>1000</w:t>
      </w:r>
      <w:r w:rsidRPr="006E4D42">
        <w:rPr>
          <w:rFonts w:cs="宋体" w:hint="eastAsia"/>
          <w:kern w:val="0"/>
          <w:sz w:val="24"/>
          <w:szCs w:val="24"/>
        </w:rPr>
        <w:t>元以上</w:t>
      </w:r>
      <w:r w:rsidRPr="006E4D42">
        <w:rPr>
          <w:rFonts w:ascii="Calibri" w:eastAsia="宋体" w:hAnsi="Calibri" w:cs="Calibri"/>
          <w:kern w:val="0"/>
          <w:sz w:val="24"/>
          <w:szCs w:val="24"/>
        </w:rPr>
        <w:t>5000</w:t>
      </w:r>
      <w:r w:rsidRPr="006E4D42">
        <w:rPr>
          <w:rFonts w:cs="宋体" w:hint="eastAsia"/>
          <w:kern w:val="0"/>
          <w:sz w:val="24"/>
          <w:szCs w:val="24"/>
        </w:rPr>
        <w:t>元以下的罚款。</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特种作业人员转借、转让、冒用特种作业操作证的，给予警告，并处</w:t>
      </w:r>
      <w:r w:rsidRPr="006E4D42">
        <w:rPr>
          <w:rFonts w:ascii="Calibri" w:eastAsia="宋体" w:hAnsi="Calibri" w:cs="Calibri"/>
          <w:kern w:val="0"/>
          <w:sz w:val="24"/>
          <w:szCs w:val="24"/>
        </w:rPr>
        <w:t>2000</w:t>
      </w:r>
      <w:r w:rsidRPr="006E4D42">
        <w:rPr>
          <w:rFonts w:cs="宋体" w:hint="eastAsia"/>
          <w:kern w:val="0"/>
          <w:sz w:val="24"/>
          <w:szCs w:val="24"/>
        </w:rPr>
        <w:t>元以上</w:t>
      </w:r>
      <w:r w:rsidRPr="006E4D42">
        <w:rPr>
          <w:rFonts w:ascii="Calibri" w:eastAsia="宋体" w:hAnsi="Calibri" w:cs="Calibri"/>
          <w:kern w:val="0"/>
          <w:sz w:val="24"/>
          <w:szCs w:val="24"/>
        </w:rPr>
        <w:t>1</w:t>
      </w:r>
      <w:r w:rsidRPr="006E4D42">
        <w:rPr>
          <w:rFonts w:cs="宋体" w:hint="eastAsia"/>
          <w:kern w:val="0"/>
          <w:sz w:val="24"/>
          <w:szCs w:val="24"/>
        </w:rPr>
        <w:t>万元以下的罚款。</w:t>
      </w:r>
    </w:p>
    <w:p w:rsidR="006E4D42" w:rsidRPr="006E4D42" w:rsidRDefault="006E4D42" w:rsidP="00693BB6">
      <w:pPr>
        <w:widowControl/>
        <w:spacing w:afterLines="100" w:line="380" w:lineRule="exact"/>
        <w:ind w:firstLineChars="200" w:firstLine="480"/>
        <w:jc w:val="center"/>
        <w:rPr>
          <w:rFonts w:ascii="宋体" w:eastAsia="宋体" w:hAnsi="宋体" w:cs="宋体"/>
          <w:kern w:val="0"/>
          <w:sz w:val="24"/>
          <w:szCs w:val="24"/>
        </w:rPr>
      </w:pPr>
      <w:r w:rsidRPr="006E4D42">
        <w:rPr>
          <w:rFonts w:cs="宋体" w:hint="eastAsia"/>
          <w:b/>
          <w:kern w:val="0"/>
          <w:sz w:val="24"/>
          <w:szCs w:val="24"/>
        </w:rPr>
        <w:t>第七章附则</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第四十二条特种作业人员培训、考试的收费标准，由省、自治区、直辖市人民政府安全生产监督管理部门会同负责煤矿特种作业人员考核发证工作的部门或者指定的机构统一制定，报同级人民政府物价、财政部门批准后执行，证书工本费由考核发证机关列入同级财政预算。</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第四十三条省、自治区、直辖市人民政府安全生产监督管理部门和负责煤矿特种作业人员考核发证工作的部门或者指定的机构可以结合本地区实际，制定实施细则，报安全监管总局、煤矿安监局备案。</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第四十四条本规定自</w:t>
      </w:r>
      <w:r w:rsidRPr="006E4D42">
        <w:rPr>
          <w:rFonts w:ascii="Calibri" w:eastAsia="宋体" w:hAnsi="Calibri" w:cs="Calibri"/>
          <w:kern w:val="0"/>
          <w:sz w:val="24"/>
          <w:szCs w:val="24"/>
        </w:rPr>
        <w:t>2010</w:t>
      </w:r>
      <w:r w:rsidRPr="006E4D42">
        <w:rPr>
          <w:rFonts w:cs="宋体" w:hint="eastAsia"/>
          <w:kern w:val="0"/>
          <w:sz w:val="24"/>
          <w:szCs w:val="24"/>
        </w:rPr>
        <w:t>年</w:t>
      </w:r>
      <w:r w:rsidRPr="006E4D42">
        <w:rPr>
          <w:rFonts w:ascii="Calibri" w:eastAsia="宋体" w:hAnsi="Calibri" w:cs="Calibri"/>
          <w:kern w:val="0"/>
          <w:sz w:val="24"/>
          <w:szCs w:val="24"/>
        </w:rPr>
        <w:t>7</w:t>
      </w:r>
      <w:r w:rsidRPr="006E4D42">
        <w:rPr>
          <w:rFonts w:cs="宋体" w:hint="eastAsia"/>
          <w:kern w:val="0"/>
          <w:sz w:val="24"/>
          <w:szCs w:val="24"/>
        </w:rPr>
        <w:t>月</w:t>
      </w:r>
      <w:r w:rsidRPr="006E4D42">
        <w:rPr>
          <w:rFonts w:ascii="Calibri" w:eastAsia="宋体" w:hAnsi="Calibri" w:cs="Calibri"/>
          <w:kern w:val="0"/>
          <w:sz w:val="24"/>
          <w:szCs w:val="24"/>
        </w:rPr>
        <w:t>1</w:t>
      </w:r>
      <w:r w:rsidRPr="006E4D42">
        <w:rPr>
          <w:rFonts w:cs="宋体" w:hint="eastAsia"/>
          <w:kern w:val="0"/>
          <w:sz w:val="24"/>
          <w:szCs w:val="24"/>
        </w:rPr>
        <w:t>日起施行。</w:t>
      </w:r>
      <w:r w:rsidRPr="006E4D42">
        <w:rPr>
          <w:rFonts w:ascii="Calibri" w:eastAsia="宋体" w:hAnsi="Calibri" w:cs="Calibri"/>
          <w:kern w:val="0"/>
          <w:sz w:val="24"/>
          <w:szCs w:val="24"/>
        </w:rPr>
        <w:t>1999</w:t>
      </w:r>
      <w:r w:rsidRPr="006E4D42">
        <w:rPr>
          <w:rFonts w:cs="宋体" w:hint="eastAsia"/>
          <w:kern w:val="0"/>
          <w:sz w:val="24"/>
          <w:szCs w:val="24"/>
        </w:rPr>
        <w:t>年</w:t>
      </w:r>
      <w:r w:rsidRPr="006E4D42">
        <w:rPr>
          <w:rFonts w:ascii="Calibri" w:eastAsia="宋体" w:hAnsi="Calibri" w:cs="Calibri"/>
          <w:kern w:val="0"/>
          <w:sz w:val="24"/>
          <w:szCs w:val="24"/>
        </w:rPr>
        <w:t>7</w:t>
      </w:r>
      <w:r w:rsidRPr="006E4D42">
        <w:rPr>
          <w:rFonts w:cs="宋体" w:hint="eastAsia"/>
          <w:kern w:val="0"/>
          <w:sz w:val="24"/>
          <w:szCs w:val="24"/>
        </w:rPr>
        <w:t>月</w:t>
      </w:r>
      <w:r w:rsidRPr="006E4D42">
        <w:rPr>
          <w:rFonts w:ascii="Calibri" w:eastAsia="宋体" w:hAnsi="Calibri" w:cs="Calibri"/>
          <w:kern w:val="0"/>
          <w:sz w:val="24"/>
          <w:szCs w:val="24"/>
        </w:rPr>
        <w:t>12</w:t>
      </w:r>
      <w:r w:rsidRPr="006E4D42">
        <w:rPr>
          <w:rFonts w:cs="宋体" w:hint="eastAsia"/>
          <w:kern w:val="0"/>
          <w:sz w:val="24"/>
          <w:szCs w:val="24"/>
        </w:rPr>
        <w:t>日原国家经贸委发布的《特种作业人员安全技术培训考核管理办法》（原国家经贸委令第</w:t>
      </w:r>
      <w:r w:rsidRPr="006E4D42">
        <w:rPr>
          <w:rFonts w:ascii="Calibri" w:eastAsia="宋体" w:hAnsi="Calibri" w:cs="Calibri"/>
          <w:kern w:val="0"/>
          <w:sz w:val="24"/>
          <w:szCs w:val="24"/>
        </w:rPr>
        <w:t>13</w:t>
      </w:r>
      <w:r w:rsidRPr="006E4D42">
        <w:rPr>
          <w:rFonts w:cs="宋体" w:hint="eastAsia"/>
          <w:kern w:val="0"/>
          <w:sz w:val="24"/>
          <w:szCs w:val="24"/>
        </w:rPr>
        <w:t>号）同时废止。</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b/>
          <w:kern w:val="0"/>
          <w:sz w:val="24"/>
          <w:szCs w:val="24"/>
        </w:rPr>
        <w:t>附件：</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特种作业目录</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 xml:space="preserve"> 1</w:t>
      </w:r>
      <w:r w:rsidRPr="006E4D42">
        <w:rPr>
          <w:rFonts w:cs="宋体" w:hint="eastAsia"/>
          <w:kern w:val="0"/>
          <w:sz w:val="24"/>
          <w:szCs w:val="24"/>
        </w:rPr>
        <w:t>电工作业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指对电气设备进行运行、维护、安装、检修、改造、施工、调试等作业（不含电力系统进网作业）。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1.1</w:t>
      </w:r>
      <w:r w:rsidRPr="006E4D42">
        <w:rPr>
          <w:rFonts w:cs="宋体" w:hint="eastAsia"/>
          <w:kern w:val="0"/>
          <w:sz w:val="24"/>
          <w:szCs w:val="24"/>
        </w:rPr>
        <w:t>高压电工作业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指对</w:t>
      </w:r>
      <w:r w:rsidRPr="006E4D42">
        <w:rPr>
          <w:rFonts w:ascii="Calibri" w:eastAsia="宋体" w:hAnsi="Calibri" w:cs="Calibri"/>
          <w:kern w:val="0"/>
          <w:sz w:val="24"/>
          <w:szCs w:val="24"/>
        </w:rPr>
        <w:t>1</w:t>
      </w:r>
      <w:r w:rsidRPr="006E4D42">
        <w:rPr>
          <w:rFonts w:cs="宋体" w:hint="eastAsia"/>
          <w:kern w:val="0"/>
          <w:sz w:val="24"/>
          <w:szCs w:val="24"/>
        </w:rPr>
        <w:t>千伏（</w:t>
      </w:r>
      <w:r w:rsidRPr="006E4D42">
        <w:rPr>
          <w:rFonts w:ascii="Calibri" w:eastAsia="宋体" w:hAnsi="Calibri" w:cs="Calibri"/>
          <w:kern w:val="0"/>
          <w:sz w:val="24"/>
          <w:szCs w:val="24"/>
        </w:rPr>
        <w:t>kV</w:t>
      </w:r>
      <w:r w:rsidRPr="006E4D42">
        <w:rPr>
          <w:rFonts w:cs="宋体" w:hint="eastAsia"/>
          <w:kern w:val="0"/>
          <w:sz w:val="24"/>
          <w:szCs w:val="24"/>
        </w:rPr>
        <w:t>）及以上的高压电气设备进行运行、维护、安装、检修、改造、施工、调试、试验及绝缘工、器具进行试验的作业。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1.2</w:t>
      </w:r>
      <w:r w:rsidRPr="006E4D42">
        <w:rPr>
          <w:rFonts w:cs="宋体" w:hint="eastAsia"/>
          <w:kern w:val="0"/>
          <w:sz w:val="24"/>
          <w:szCs w:val="24"/>
        </w:rPr>
        <w:t>低压电工作业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lastRenderedPageBreak/>
        <w:t>指对</w:t>
      </w:r>
      <w:r w:rsidRPr="006E4D42">
        <w:rPr>
          <w:rFonts w:ascii="Calibri" w:eastAsia="宋体" w:hAnsi="Calibri" w:cs="Calibri"/>
          <w:kern w:val="0"/>
          <w:sz w:val="24"/>
          <w:szCs w:val="24"/>
        </w:rPr>
        <w:t>1</w:t>
      </w:r>
      <w:r w:rsidRPr="006E4D42">
        <w:rPr>
          <w:rFonts w:cs="宋体" w:hint="eastAsia"/>
          <w:kern w:val="0"/>
          <w:sz w:val="24"/>
          <w:szCs w:val="24"/>
        </w:rPr>
        <w:t>千伏（</w:t>
      </w:r>
      <w:r w:rsidRPr="006E4D42">
        <w:rPr>
          <w:rFonts w:ascii="Calibri" w:eastAsia="宋体" w:hAnsi="Calibri" w:cs="Calibri"/>
          <w:kern w:val="0"/>
          <w:sz w:val="24"/>
          <w:szCs w:val="24"/>
        </w:rPr>
        <w:t>kV</w:t>
      </w:r>
      <w:r w:rsidRPr="006E4D42">
        <w:rPr>
          <w:rFonts w:cs="宋体" w:hint="eastAsia"/>
          <w:kern w:val="0"/>
          <w:sz w:val="24"/>
          <w:szCs w:val="24"/>
        </w:rPr>
        <w:t>）以下的低压电器设备进行安装、调试、运行操作、维护、检修、改造施工和试验的作业。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1.3</w:t>
      </w:r>
      <w:r w:rsidRPr="006E4D42">
        <w:rPr>
          <w:rFonts w:cs="宋体" w:hint="eastAsia"/>
          <w:kern w:val="0"/>
          <w:sz w:val="24"/>
          <w:szCs w:val="24"/>
        </w:rPr>
        <w:t>防爆电气作业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指对各种防爆电气设备进行安装、检修、维护的作业。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适用于除煤矿井下以外的防爆电气作业。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2</w:t>
      </w:r>
      <w:r w:rsidRPr="006E4D42">
        <w:rPr>
          <w:rFonts w:cs="宋体" w:hint="eastAsia"/>
          <w:kern w:val="0"/>
          <w:sz w:val="24"/>
          <w:szCs w:val="24"/>
        </w:rPr>
        <w:t>焊接与热切割作业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指运用焊接或者热切割方法对材料进行加工的作业（不含《特种设备安全监察条例》规定的有关作业）。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2.1</w:t>
      </w:r>
      <w:r w:rsidRPr="006E4D42">
        <w:rPr>
          <w:rFonts w:cs="宋体" w:hint="eastAsia"/>
          <w:kern w:val="0"/>
          <w:sz w:val="24"/>
          <w:szCs w:val="24"/>
        </w:rPr>
        <w:t>熔化焊接与热切割作业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指使用局部加热的方法将连接处的金属或其他材料加热至熔化状态而完成焊接与切割的作业。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适用于气焊与气割、焊条电弧焊与碳弧气刨、埋弧焊、气体保护焊、等离子弧焊、电渣焊、电子束焊、激光焊、氧熔剂切割、激光切割、等离子切割等作业。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2.2</w:t>
      </w:r>
      <w:r w:rsidRPr="006E4D42">
        <w:rPr>
          <w:rFonts w:cs="宋体" w:hint="eastAsia"/>
          <w:kern w:val="0"/>
          <w:sz w:val="24"/>
          <w:szCs w:val="24"/>
        </w:rPr>
        <w:t>压力焊作业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指利用焊接时施加一定压力而完成的焊接作业。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适用于电阻焊、气压焊、爆炸焊、摩擦焊、冷压焊、超声波焊、锻焊等作业。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2.3</w:t>
      </w:r>
      <w:r w:rsidRPr="006E4D42">
        <w:rPr>
          <w:rFonts w:cs="宋体" w:hint="eastAsia"/>
          <w:kern w:val="0"/>
          <w:sz w:val="24"/>
          <w:szCs w:val="24"/>
        </w:rPr>
        <w:t>钎焊作业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指使用比母材熔点低的材料作钎料，将焊件和钎料加热到高于钎料熔点，但低于母材熔点的温度，利用液态钎料润湿母材，填充接头间隙并与母材相互扩散而实现连接焊件的作业。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适用于火焰钎焊作业、电阻钎焊作业、感应钎焊作业、浸渍钎焊作业、炉中钎焊作业，不包括烙铁钎焊作业。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3</w:t>
      </w:r>
      <w:r w:rsidRPr="006E4D42">
        <w:rPr>
          <w:rFonts w:cs="宋体" w:hint="eastAsia"/>
          <w:kern w:val="0"/>
          <w:sz w:val="24"/>
          <w:szCs w:val="24"/>
        </w:rPr>
        <w:t>高处作业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lastRenderedPageBreak/>
        <w:t>指专门或经常在坠落高度基准面</w:t>
      </w:r>
      <w:r w:rsidRPr="006E4D42">
        <w:rPr>
          <w:rFonts w:ascii="Calibri" w:eastAsia="宋体" w:hAnsi="Calibri" w:cs="Calibri"/>
          <w:kern w:val="0"/>
          <w:sz w:val="24"/>
          <w:szCs w:val="24"/>
        </w:rPr>
        <w:t>2</w:t>
      </w:r>
      <w:r w:rsidRPr="006E4D42">
        <w:rPr>
          <w:rFonts w:cs="宋体" w:hint="eastAsia"/>
          <w:kern w:val="0"/>
          <w:sz w:val="24"/>
          <w:szCs w:val="24"/>
        </w:rPr>
        <w:t>米及以上有可能坠落的高处进行的作业。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3.1</w:t>
      </w:r>
      <w:r w:rsidRPr="006E4D42">
        <w:rPr>
          <w:rFonts w:cs="宋体" w:hint="eastAsia"/>
          <w:kern w:val="0"/>
          <w:sz w:val="24"/>
          <w:szCs w:val="24"/>
        </w:rPr>
        <w:t>登高架设作业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指在高处从事脚手架、跨越架架设或拆除的作业。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3.2</w:t>
      </w:r>
      <w:r w:rsidRPr="006E4D42">
        <w:rPr>
          <w:rFonts w:cs="宋体" w:hint="eastAsia"/>
          <w:kern w:val="0"/>
          <w:sz w:val="24"/>
          <w:szCs w:val="24"/>
        </w:rPr>
        <w:t>高处安装、维护、拆除作业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指在高处从事安装、维护、拆除的作业。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适用于利用专用设备进行建筑物内外装饰、清洁、装修，电力、电信等线路架设，高处管道架设，小型空调高处安装、维修，各种设备设施与户外广告设施的安装、检修、维护以及在高处从事建筑物、设备设施拆除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4</w:t>
      </w:r>
      <w:r w:rsidRPr="006E4D42">
        <w:rPr>
          <w:rFonts w:cs="宋体" w:hint="eastAsia"/>
          <w:kern w:val="0"/>
          <w:sz w:val="24"/>
          <w:szCs w:val="24"/>
        </w:rPr>
        <w:t>制冷与空调作业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指对大中型制冷与空调设备运行操作、安装与修理的作业。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4.1</w:t>
      </w:r>
      <w:r w:rsidRPr="006E4D42">
        <w:rPr>
          <w:rFonts w:cs="宋体" w:hint="eastAsia"/>
          <w:kern w:val="0"/>
          <w:sz w:val="24"/>
          <w:szCs w:val="24"/>
        </w:rPr>
        <w:t>制冷与空调设备运行操作作业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指对各类生产经营企业和事业等单位的大中型制冷与空调设备运行操作的作业。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适用于化工类</w:t>
      </w:r>
      <w:r w:rsidRPr="006E4D42">
        <w:rPr>
          <w:rFonts w:ascii="Calibri" w:eastAsia="宋体" w:hAnsi="Calibri" w:cs="Calibri"/>
          <w:kern w:val="0"/>
          <w:sz w:val="24"/>
          <w:szCs w:val="24"/>
        </w:rPr>
        <w:t>(</w:t>
      </w:r>
      <w:r w:rsidRPr="006E4D42">
        <w:rPr>
          <w:rFonts w:cs="宋体" w:hint="eastAsia"/>
          <w:kern w:val="0"/>
          <w:sz w:val="24"/>
          <w:szCs w:val="24"/>
        </w:rPr>
        <w:t>石化、化工、天然气液化、工艺性空调</w:t>
      </w:r>
      <w:r w:rsidRPr="006E4D42">
        <w:rPr>
          <w:rFonts w:ascii="Calibri" w:eastAsia="宋体" w:hAnsi="Calibri" w:cs="Calibri"/>
          <w:kern w:val="0"/>
          <w:sz w:val="24"/>
          <w:szCs w:val="24"/>
        </w:rPr>
        <w:t>)</w:t>
      </w:r>
      <w:r w:rsidRPr="006E4D42">
        <w:rPr>
          <w:rFonts w:cs="宋体" w:hint="eastAsia"/>
          <w:kern w:val="0"/>
          <w:sz w:val="24"/>
          <w:szCs w:val="24"/>
        </w:rPr>
        <w:t>生产企业，机械类</w:t>
      </w:r>
      <w:r w:rsidRPr="006E4D42">
        <w:rPr>
          <w:rFonts w:ascii="Calibri" w:eastAsia="宋体" w:hAnsi="Calibri" w:cs="Calibri"/>
          <w:kern w:val="0"/>
          <w:sz w:val="24"/>
          <w:szCs w:val="24"/>
        </w:rPr>
        <w:t>(</w:t>
      </w:r>
      <w:r w:rsidRPr="006E4D42">
        <w:rPr>
          <w:rFonts w:cs="宋体" w:hint="eastAsia"/>
          <w:kern w:val="0"/>
          <w:sz w:val="24"/>
          <w:szCs w:val="24"/>
        </w:rPr>
        <w:t>冷加工、冷处理、工艺性空调</w:t>
      </w:r>
      <w:r w:rsidRPr="006E4D42">
        <w:rPr>
          <w:rFonts w:ascii="Calibri" w:eastAsia="宋体" w:hAnsi="Calibri" w:cs="Calibri"/>
          <w:kern w:val="0"/>
          <w:sz w:val="24"/>
          <w:szCs w:val="24"/>
        </w:rPr>
        <w:t>)</w:t>
      </w:r>
      <w:r w:rsidRPr="006E4D42">
        <w:rPr>
          <w:rFonts w:cs="宋体" w:hint="eastAsia"/>
          <w:kern w:val="0"/>
          <w:sz w:val="24"/>
          <w:szCs w:val="24"/>
        </w:rPr>
        <w:t>生产企业，食品类</w:t>
      </w:r>
      <w:r w:rsidRPr="006E4D42">
        <w:rPr>
          <w:rFonts w:ascii="Calibri" w:eastAsia="宋体" w:hAnsi="Calibri" w:cs="Calibri"/>
          <w:kern w:val="0"/>
          <w:sz w:val="24"/>
          <w:szCs w:val="24"/>
        </w:rPr>
        <w:t>(</w:t>
      </w:r>
      <w:r w:rsidRPr="006E4D42">
        <w:rPr>
          <w:rFonts w:cs="宋体" w:hint="eastAsia"/>
          <w:kern w:val="0"/>
          <w:sz w:val="24"/>
          <w:szCs w:val="24"/>
        </w:rPr>
        <w:t>酿造、饮料、速冻或冷冻调理食品、工艺性空调</w:t>
      </w:r>
      <w:r w:rsidRPr="006E4D42">
        <w:rPr>
          <w:rFonts w:ascii="Calibri" w:eastAsia="宋体" w:hAnsi="Calibri" w:cs="Calibri"/>
          <w:kern w:val="0"/>
          <w:sz w:val="24"/>
          <w:szCs w:val="24"/>
        </w:rPr>
        <w:t>)</w:t>
      </w:r>
      <w:r w:rsidRPr="006E4D42">
        <w:rPr>
          <w:rFonts w:cs="宋体" w:hint="eastAsia"/>
          <w:kern w:val="0"/>
          <w:sz w:val="24"/>
          <w:szCs w:val="24"/>
        </w:rPr>
        <w:t>生产企业，农副产品加工类</w:t>
      </w:r>
      <w:r w:rsidRPr="006E4D42">
        <w:rPr>
          <w:rFonts w:ascii="Calibri" w:eastAsia="宋体" w:hAnsi="Calibri" w:cs="Calibri"/>
          <w:kern w:val="0"/>
          <w:sz w:val="24"/>
          <w:szCs w:val="24"/>
        </w:rPr>
        <w:t>(</w:t>
      </w:r>
      <w:r w:rsidRPr="006E4D42">
        <w:rPr>
          <w:rFonts w:cs="宋体" w:hint="eastAsia"/>
          <w:kern w:val="0"/>
          <w:sz w:val="24"/>
          <w:szCs w:val="24"/>
        </w:rPr>
        <w:t>屠宰及肉食品加工、水产加工、果蔬加工</w:t>
      </w:r>
      <w:r w:rsidRPr="006E4D42">
        <w:rPr>
          <w:rFonts w:ascii="Calibri" w:eastAsia="宋体" w:hAnsi="Calibri" w:cs="Calibri"/>
          <w:kern w:val="0"/>
          <w:sz w:val="24"/>
          <w:szCs w:val="24"/>
        </w:rPr>
        <w:t>)</w:t>
      </w:r>
      <w:r w:rsidRPr="006E4D42">
        <w:rPr>
          <w:rFonts w:cs="宋体" w:hint="eastAsia"/>
          <w:kern w:val="0"/>
          <w:sz w:val="24"/>
          <w:szCs w:val="24"/>
        </w:rPr>
        <w:t>生产企业，仓储类</w:t>
      </w:r>
      <w:r w:rsidRPr="006E4D42">
        <w:rPr>
          <w:rFonts w:ascii="Calibri" w:eastAsia="宋体" w:hAnsi="Calibri" w:cs="Calibri"/>
          <w:kern w:val="0"/>
          <w:sz w:val="24"/>
          <w:szCs w:val="24"/>
        </w:rPr>
        <w:t>(</w:t>
      </w:r>
      <w:r w:rsidRPr="006E4D42">
        <w:rPr>
          <w:rFonts w:cs="宋体" w:hint="eastAsia"/>
          <w:kern w:val="0"/>
          <w:sz w:val="24"/>
          <w:szCs w:val="24"/>
        </w:rPr>
        <w:t>冷库、速冻加工、制冰</w:t>
      </w:r>
      <w:r w:rsidRPr="006E4D42">
        <w:rPr>
          <w:rFonts w:ascii="Calibri" w:eastAsia="宋体" w:hAnsi="Calibri" w:cs="Calibri"/>
          <w:kern w:val="0"/>
          <w:sz w:val="24"/>
          <w:szCs w:val="24"/>
        </w:rPr>
        <w:t>)</w:t>
      </w:r>
      <w:r w:rsidRPr="006E4D42">
        <w:rPr>
          <w:rFonts w:cs="宋体" w:hint="eastAsia"/>
          <w:kern w:val="0"/>
          <w:sz w:val="24"/>
          <w:szCs w:val="24"/>
        </w:rPr>
        <w:t>生产经营企业，运输类</w:t>
      </w:r>
      <w:r w:rsidRPr="006E4D42">
        <w:rPr>
          <w:rFonts w:ascii="Calibri" w:eastAsia="宋体" w:hAnsi="Calibri" w:cs="Calibri"/>
          <w:kern w:val="0"/>
          <w:sz w:val="24"/>
          <w:szCs w:val="24"/>
        </w:rPr>
        <w:t>(</w:t>
      </w:r>
      <w:r w:rsidRPr="006E4D42">
        <w:rPr>
          <w:rFonts w:cs="宋体" w:hint="eastAsia"/>
          <w:kern w:val="0"/>
          <w:sz w:val="24"/>
          <w:szCs w:val="24"/>
        </w:rPr>
        <w:t>冷藏运输</w:t>
      </w:r>
      <w:r w:rsidRPr="006E4D42">
        <w:rPr>
          <w:rFonts w:ascii="Calibri" w:eastAsia="宋体" w:hAnsi="Calibri" w:cs="Calibri"/>
          <w:kern w:val="0"/>
          <w:sz w:val="24"/>
          <w:szCs w:val="24"/>
        </w:rPr>
        <w:t>)</w:t>
      </w:r>
      <w:r w:rsidRPr="006E4D42">
        <w:rPr>
          <w:rFonts w:cs="宋体" w:hint="eastAsia"/>
          <w:kern w:val="0"/>
          <w:sz w:val="24"/>
          <w:szCs w:val="24"/>
        </w:rPr>
        <w:t>经营企业，服务类</w:t>
      </w:r>
      <w:r w:rsidRPr="006E4D42">
        <w:rPr>
          <w:rFonts w:ascii="Calibri" w:eastAsia="宋体" w:hAnsi="Calibri" w:cs="Calibri"/>
          <w:kern w:val="0"/>
          <w:sz w:val="24"/>
          <w:szCs w:val="24"/>
        </w:rPr>
        <w:t>(</w:t>
      </w:r>
      <w:r w:rsidRPr="006E4D42">
        <w:rPr>
          <w:rFonts w:cs="宋体" w:hint="eastAsia"/>
          <w:kern w:val="0"/>
          <w:sz w:val="24"/>
          <w:szCs w:val="24"/>
        </w:rPr>
        <w:t>电信机房、体育场馆、建筑的集中空调</w:t>
      </w:r>
      <w:r w:rsidRPr="006E4D42">
        <w:rPr>
          <w:rFonts w:ascii="Calibri" w:eastAsia="宋体" w:hAnsi="Calibri" w:cs="Calibri"/>
          <w:kern w:val="0"/>
          <w:sz w:val="24"/>
          <w:szCs w:val="24"/>
        </w:rPr>
        <w:t>)</w:t>
      </w:r>
      <w:r w:rsidRPr="006E4D42">
        <w:rPr>
          <w:rFonts w:cs="宋体" w:hint="eastAsia"/>
          <w:kern w:val="0"/>
          <w:sz w:val="24"/>
          <w:szCs w:val="24"/>
        </w:rPr>
        <w:t>经营企业和事业等单位的大中型制冷与空调设备运行操作作业。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4.2</w:t>
      </w:r>
      <w:r w:rsidRPr="006E4D42">
        <w:rPr>
          <w:rFonts w:cs="宋体" w:hint="eastAsia"/>
          <w:kern w:val="0"/>
          <w:sz w:val="24"/>
          <w:szCs w:val="24"/>
        </w:rPr>
        <w:t>制冷与空调设备安装修理作业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指对</w:t>
      </w:r>
      <w:r w:rsidRPr="006E4D42">
        <w:rPr>
          <w:rFonts w:ascii="Calibri" w:eastAsia="宋体" w:hAnsi="Calibri" w:cs="Calibri"/>
          <w:kern w:val="0"/>
          <w:sz w:val="24"/>
          <w:szCs w:val="24"/>
        </w:rPr>
        <w:t>4.1</w:t>
      </w:r>
      <w:r w:rsidRPr="006E4D42">
        <w:rPr>
          <w:rFonts w:cs="宋体" w:hint="eastAsia"/>
          <w:kern w:val="0"/>
          <w:sz w:val="24"/>
          <w:szCs w:val="24"/>
        </w:rPr>
        <w:t>所指制冷与空调设备整机、部件及相关系统进行安装、调试与维修的作业。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5</w:t>
      </w:r>
      <w:r w:rsidRPr="006E4D42">
        <w:rPr>
          <w:rFonts w:cs="宋体" w:hint="eastAsia"/>
          <w:kern w:val="0"/>
          <w:sz w:val="24"/>
          <w:szCs w:val="24"/>
        </w:rPr>
        <w:t>煤矿安全作业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5.1</w:t>
      </w:r>
      <w:r w:rsidRPr="006E4D42">
        <w:rPr>
          <w:rFonts w:cs="宋体" w:hint="eastAsia"/>
          <w:kern w:val="0"/>
          <w:sz w:val="24"/>
          <w:szCs w:val="24"/>
        </w:rPr>
        <w:t>煤矿井下电气作业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lastRenderedPageBreak/>
        <w:t>指从事煤矿井下机电设备的安装、调试、巡检、维修和故障处理，保证本班机电设备安全运行的作业。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适用于与煤共生、伴生的坑探、矿井建设、开采过程中的井下电钳等作业。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5.2</w:t>
      </w:r>
      <w:r w:rsidRPr="006E4D42">
        <w:rPr>
          <w:rFonts w:cs="宋体" w:hint="eastAsia"/>
          <w:kern w:val="0"/>
          <w:sz w:val="24"/>
          <w:szCs w:val="24"/>
        </w:rPr>
        <w:t>煤矿井下爆破作业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指在煤矿井下进行爆破的作业。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5.3</w:t>
      </w:r>
      <w:r w:rsidRPr="006E4D42">
        <w:rPr>
          <w:rFonts w:cs="宋体" w:hint="eastAsia"/>
          <w:kern w:val="0"/>
          <w:sz w:val="24"/>
          <w:szCs w:val="24"/>
        </w:rPr>
        <w:t>煤矿安全监测监控作业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指从事煤矿井下安全监测监控系统的安装、调试、巡检、维修，保证其安全运行的作业。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适用于与煤共生、伴生的坑探、矿井建设、开采过程中的安全监测监控作业。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5.4</w:t>
      </w:r>
      <w:r w:rsidRPr="006E4D42">
        <w:rPr>
          <w:rFonts w:cs="宋体" w:hint="eastAsia"/>
          <w:kern w:val="0"/>
          <w:sz w:val="24"/>
          <w:szCs w:val="24"/>
        </w:rPr>
        <w:t>煤矿瓦斯检查作业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指从事煤矿井下瓦斯巡检工作，负责管辖范围内通风设施的完好及通风、瓦斯情况检查，按规定填写各种记录，及时处理或汇报发现的问题的作业。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适用于与煤共生、伴生的矿井建设、开采过程中的煤矿井下瓦斯检查作业。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5.5</w:t>
      </w:r>
      <w:r w:rsidRPr="006E4D42">
        <w:rPr>
          <w:rFonts w:cs="宋体" w:hint="eastAsia"/>
          <w:kern w:val="0"/>
          <w:sz w:val="24"/>
          <w:szCs w:val="24"/>
        </w:rPr>
        <w:t>煤矿安全检查作业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指从事煤矿安全监督检查，巡检生产作业场所的安全设施和安全生产状况，检查并督促处理相应事故隐患的作业。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5.6</w:t>
      </w:r>
      <w:r w:rsidRPr="006E4D42">
        <w:rPr>
          <w:rFonts w:cs="宋体" w:hint="eastAsia"/>
          <w:kern w:val="0"/>
          <w:sz w:val="24"/>
          <w:szCs w:val="24"/>
        </w:rPr>
        <w:t>煤矿提升机操作作业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指操作煤矿的提升设备运送人员、矿石、矸石和物料，并负责巡检和运行记录的作业。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适用于操作煤矿提升机，包括立井、暗立井提升机，斜井、暗斜井提升机以及露天矿山斜坡卷扬提升的提升机作业。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5.7</w:t>
      </w:r>
      <w:r w:rsidRPr="006E4D42">
        <w:rPr>
          <w:rFonts w:cs="宋体" w:hint="eastAsia"/>
          <w:kern w:val="0"/>
          <w:sz w:val="24"/>
          <w:szCs w:val="24"/>
        </w:rPr>
        <w:t>煤矿采煤机（掘进机）操作作业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lastRenderedPageBreak/>
        <w:t>指在采煤工作面、掘进工作面操作采煤机、掘进机，从事落煤、装煤、掘进工作，负责采煤机、掘进机巡检和运行记录，保证采煤机、掘进机安全运行的作业。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适用于煤矿开采、掘进过程中的采煤机、掘进机作业。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5.8</w:t>
      </w:r>
      <w:r w:rsidRPr="006E4D42">
        <w:rPr>
          <w:rFonts w:cs="宋体" w:hint="eastAsia"/>
          <w:kern w:val="0"/>
          <w:sz w:val="24"/>
          <w:szCs w:val="24"/>
        </w:rPr>
        <w:t>煤矿瓦斯抽采作业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指从事煤矿井下瓦斯抽采钻孔施工、封孔、瓦斯流量测定及瓦斯抽采设备操作等，保证瓦斯抽采工作安全进行的作业。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适用于煤矿、与煤共生和伴生的矿井建设、开采过程中的煤矿地面和井下瓦斯抽采作业。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5.9</w:t>
      </w:r>
      <w:r w:rsidRPr="006E4D42">
        <w:rPr>
          <w:rFonts w:cs="宋体" w:hint="eastAsia"/>
          <w:kern w:val="0"/>
          <w:sz w:val="24"/>
          <w:szCs w:val="24"/>
        </w:rPr>
        <w:t>煤矿防突作业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指从事煤与瓦斯突出的预测预报、相关参数的收集与分析、防治突出措施的实施与检查、防突效果检验等，保证防突工作安全进行的作业。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适用于煤矿、与煤共生和伴生的矿井建设、开采过程中的煤矿井下煤与瓦斯防突作业。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5.10</w:t>
      </w:r>
      <w:r w:rsidRPr="006E4D42">
        <w:rPr>
          <w:rFonts w:cs="宋体" w:hint="eastAsia"/>
          <w:kern w:val="0"/>
          <w:sz w:val="24"/>
          <w:szCs w:val="24"/>
        </w:rPr>
        <w:t>煤矿探放水作业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指从事煤矿探放水的预测预报、相关参数的收集与分析、探放水措施的实施与检查、效果检验等，保证探放水工作安全进行的作业。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适用于煤矿、与煤共生和伴生的矿井建设、开采过程中的煤矿井下探放水作业。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6</w:t>
      </w:r>
      <w:r w:rsidRPr="006E4D42">
        <w:rPr>
          <w:rFonts w:cs="宋体" w:hint="eastAsia"/>
          <w:kern w:val="0"/>
          <w:sz w:val="24"/>
          <w:szCs w:val="24"/>
        </w:rPr>
        <w:t>金属非金属矿山安全作业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6.1</w:t>
      </w:r>
      <w:r w:rsidRPr="006E4D42">
        <w:rPr>
          <w:rFonts w:cs="宋体" w:hint="eastAsia"/>
          <w:kern w:val="0"/>
          <w:sz w:val="24"/>
          <w:szCs w:val="24"/>
        </w:rPr>
        <w:t>金属非金属矿井通风作业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指安装井下局部通风机，操作地面主要扇风机、井下局部通风机和辅助通风机，操作、维护矿井通风构筑物，进行井下防尘，使矿井通风系统正常运行，保证局部通风，以预防中毒窒息和除尘等的作业。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lastRenderedPageBreak/>
        <w:t>6.2</w:t>
      </w:r>
      <w:r w:rsidRPr="006E4D42">
        <w:rPr>
          <w:rFonts w:cs="宋体" w:hint="eastAsia"/>
          <w:kern w:val="0"/>
          <w:sz w:val="24"/>
          <w:szCs w:val="24"/>
        </w:rPr>
        <w:t>尾矿作业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指从事尾矿库放矿、筑坝、巡坝、抽洪和排渗设施的作业。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适用于金属非金属矿山的尾矿作业。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6.3</w:t>
      </w:r>
      <w:r w:rsidRPr="006E4D42">
        <w:rPr>
          <w:rFonts w:cs="宋体" w:hint="eastAsia"/>
          <w:kern w:val="0"/>
          <w:sz w:val="24"/>
          <w:szCs w:val="24"/>
        </w:rPr>
        <w:t>金属非金属矿山安全检查作业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指从事金属非金属矿山安全监督检查，巡检生产作业场所的安全设施和安全生产状况，检查并督促处理相应事故隐患的作业。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6.4</w:t>
      </w:r>
      <w:r w:rsidRPr="006E4D42">
        <w:rPr>
          <w:rFonts w:cs="宋体" w:hint="eastAsia"/>
          <w:kern w:val="0"/>
          <w:sz w:val="24"/>
          <w:szCs w:val="24"/>
        </w:rPr>
        <w:t>金属非金属矿山提升机操作作业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指操作金属非金属矿山的提升设备运送人员、矿石、矸石和物料，及负责巡检和运行记录的作业。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适用于金属非金属矿山的提升机，包括竖井、盲竖井提升机，斜井、盲斜井提升机以及露天矿山斜坡卷扬提升的提升机作业。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6.5</w:t>
      </w:r>
      <w:r w:rsidRPr="006E4D42">
        <w:rPr>
          <w:rFonts w:cs="宋体" w:hint="eastAsia"/>
          <w:kern w:val="0"/>
          <w:sz w:val="24"/>
          <w:szCs w:val="24"/>
        </w:rPr>
        <w:t>金属非金属矿山支柱作业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指在井下检查井巷和采场顶、帮的稳定性，撬浮石，进行支护的作业。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6.6</w:t>
      </w:r>
      <w:r w:rsidRPr="006E4D42">
        <w:rPr>
          <w:rFonts w:cs="宋体" w:hint="eastAsia"/>
          <w:kern w:val="0"/>
          <w:sz w:val="24"/>
          <w:szCs w:val="24"/>
        </w:rPr>
        <w:t>金属非金属矿山井下电气作业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指从事金属非金属矿山井下机电设备的安装、调试、巡检、维修和故障处理，保证机电设备安全运行的作业。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6.7</w:t>
      </w:r>
      <w:r w:rsidRPr="006E4D42">
        <w:rPr>
          <w:rFonts w:cs="宋体" w:hint="eastAsia"/>
          <w:kern w:val="0"/>
          <w:sz w:val="24"/>
          <w:szCs w:val="24"/>
        </w:rPr>
        <w:t>金属非金属矿山排水作业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指从事金属非金属矿山排水设备日常使用、维护、巡检的作业。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6.8</w:t>
      </w:r>
      <w:r w:rsidRPr="006E4D42">
        <w:rPr>
          <w:rFonts w:cs="宋体" w:hint="eastAsia"/>
          <w:kern w:val="0"/>
          <w:sz w:val="24"/>
          <w:szCs w:val="24"/>
        </w:rPr>
        <w:t>金属非金属矿山爆破作业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指在露天和井下进行爆破的作业。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7</w:t>
      </w:r>
      <w:r w:rsidRPr="006E4D42">
        <w:rPr>
          <w:rFonts w:cs="宋体" w:hint="eastAsia"/>
          <w:kern w:val="0"/>
          <w:sz w:val="24"/>
          <w:szCs w:val="24"/>
        </w:rPr>
        <w:t>石油天然气安全作业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7.1</w:t>
      </w:r>
      <w:r w:rsidRPr="006E4D42">
        <w:rPr>
          <w:rFonts w:cs="宋体" w:hint="eastAsia"/>
          <w:kern w:val="0"/>
          <w:sz w:val="24"/>
          <w:szCs w:val="24"/>
        </w:rPr>
        <w:t>司钻作业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lastRenderedPageBreak/>
        <w:t>指石油、天然气开采过程中操作钻机起升钻具的作业。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适用于陆上石油、天然气司钻（含钻井司钻、作业司钻及勘探司钻）作业。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8</w:t>
      </w:r>
      <w:r w:rsidRPr="006E4D42">
        <w:rPr>
          <w:rFonts w:cs="宋体" w:hint="eastAsia"/>
          <w:kern w:val="0"/>
          <w:sz w:val="24"/>
          <w:szCs w:val="24"/>
        </w:rPr>
        <w:t>冶金（有色）生产安全作业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8.1</w:t>
      </w:r>
      <w:r w:rsidRPr="006E4D42">
        <w:rPr>
          <w:rFonts w:cs="宋体" w:hint="eastAsia"/>
          <w:kern w:val="0"/>
          <w:sz w:val="24"/>
          <w:szCs w:val="24"/>
        </w:rPr>
        <w:t>煤气作业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指冶金、有色企业内从事煤气生产、储存、输送、使用、维护检修的作业。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9</w:t>
      </w:r>
      <w:r w:rsidRPr="006E4D42">
        <w:rPr>
          <w:rFonts w:cs="宋体" w:hint="eastAsia"/>
          <w:kern w:val="0"/>
          <w:sz w:val="24"/>
          <w:szCs w:val="24"/>
        </w:rPr>
        <w:t>危险化学品安全作业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指从事危险化工工艺过程操作及化工自动化控制仪表安装、维修、维护的作业。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9.1</w:t>
      </w:r>
      <w:r w:rsidRPr="006E4D42">
        <w:rPr>
          <w:rFonts w:cs="宋体" w:hint="eastAsia"/>
          <w:kern w:val="0"/>
          <w:sz w:val="24"/>
          <w:szCs w:val="24"/>
        </w:rPr>
        <w:t>光气及光气化工艺作业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指光气合成以及厂内光气储存、输送和使用岗位的作业。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适用于一氧化碳与氯气反应得到光气，光气合成双光气、三光气，采用光气作单体合成聚碳酸酯，甲苯二异氰酸酯（</w:t>
      </w:r>
      <w:r w:rsidRPr="006E4D42">
        <w:rPr>
          <w:rFonts w:ascii="Calibri" w:eastAsia="宋体" w:hAnsi="Calibri" w:cs="Calibri"/>
          <w:kern w:val="0"/>
          <w:sz w:val="24"/>
          <w:szCs w:val="24"/>
        </w:rPr>
        <w:t>TDI</w:t>
      </w:r>
      <w:r w:rsidRPr="006E4D42">
        <w:rPr>
          <w:rFonts w:cs="宋体" w:hint="eastAsia"/>
          <w:kern w:val="0"/>
          <w:sz w:val="24"/>
          <w:szCs w:val="24"/>
        </w:rPr>
        <w:t>）制备，</w:t>
      </w:r>
      <w:r w:rsidRPr="006E4D42">
        <w:rPr>
          <w:rFonts w:ascii="Calibri" w:eastAsia="宋体" w:hAnsi="Calibri" w:cs="Calibri"/>
          <w:kern w:val="0"/>
          <w:sz w:val="24"/>
          <w:szCs w:val="24"/>
        </w:rPr>
        <w:t>4,4'-</w:t>
      </w:r>
      <w:r w:rsidRPr="006E4D42">
        <w:rPr>
          <w:rFonts w:cs="宋体" w:hint="eastAsia"/>
          <w:kern w:val="0"/>
          <w:sz w:val="24"/>
          <w:szCs w:val="24"/>
        </w:rPr>
        <w:t>二苯基甲烷二异氰酸酯（</w:t>
      </w:r>
      <w:r w:rsidRPr="006E4D42">
        <w:rPr>
          <w:rFonts w:ascii="Calibri" w:eastAsia="宋体" w:hAnsi="Calibri" w:cs="Calibri"/>
          <w:kern w:val="0"/>
          <w:sz w:val="24"/>
          <w:szCs w:val="24"/>
        </w:rPr>
        <w:t>MDI</w:t>
      </w:r>
      <w:r w:rsidRPr="006E4D42">
        <w:rPr>
          <w:rFonts w:cs="宋体" w:hint="eastAsia"/>
          <w:kern w:val="0"/>
          <w:sz w:val="24"/>
          <w:szCs w:val="24"/>
        </w:rPr>
        <w:t>）制备等工艺过程的操作作业。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9.2</w:t>
      </w:r>
      <w:r w:rsidRPr="006E4D42">
        <w:rPr>
          <w:rFonts w:cs="宋体" w:hint="eastAsia"/>
          <w:kern w:val="0"/>
          <w:sz w:val="24"/>
          <w:szCs w:val="24"/>
        </w:rPr>
        <w:t>氯碱电解工艺作业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指氯化钠和氯化钾电解、液氯储存和充装岗位的作业。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适用于氯化钠（食盐）水溶液电解生产氯气、氢氧化钠、氢气，氯化钾水溶液电解生产氯气、氢氧化钾、氢气等工艺过程的操作作业。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9.3</w:t>
      </w:r>
      <w:r w:rsidRPr="006E4D42">
        <w:rPr>
          <w:rFonts w:cs="宋体" w:hint="eastAsia"/>
          <w:kern w:val="0"/>
          <w:sz w:val="24"/>
          <w:szCs w:val="24"/>
        </w:rPr>
        <w:t>氯化工艺作业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指液氯储存、气化和氯化反应岗位的作业。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适用于取代氯化，加成氯化，氧氯化等工艺过程的操作作业。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9.4</w:t>
      </w:r>
      <w:r w:rsidRPr="006E4D42">
        <w:rPr>
          <w:rFonts w:cs="宋体" w:hint="eastAsia"/>
          <w:kern w:val="0"/>
          <w:sz w:val="24"/>
          <w:szCs w:val="24"/>
        </w:rPr>
        <w:t>硝化工艺作业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指硝化反应、精馏分离岗位的作业。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lastRenderedPageBreak/>
        <w:t>适用于直接硝化法，间接硝化法，亚硝化法等工艺过程的操作作业。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9.5</w:t>
      </w:r>
      <w:r w:rsidRPr="006E4D42">
        <w:rPr>
          <w:rFonts w:cs="宋体" w:hint="eastAsia"/>
          <w:kern w:val="0"/>
          <w:sz w:val="24"/>
          <w:szCs w:val="24"/>
        </w:rPr>
        <w:t>合成氨工艺作业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指压缩、氨合成反应、液氨储存岗位的作业。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适用于节能氨五工艺法（</w:t>
      </w:r>
      <w:r w:rsidRPr="006E4D42">
        <w:rPr>
          <w:rFonts w:ascii="Calibri" w:eastAsia="宋体" w:hAnsi="Calibri" w:cs="Calibri"/>
          <w:kern w:val="0"/>
          <w:sz w:val="24"/>
          <w:szCs w:val="24"/>
        </w:rPr>
        <w:t>AMV</w:t>
      </w:r>
      <w:r w:rsidRPr="006E4D42">
        <w:rPr>
          <w:rFonts w:cs="宋体" w:hint="eastAsia"/>
          <w:kern w:val="0"/>
          <w:sz w:val="24"/>
          <w:szCs w:val="24"/>
        </w:rPr>
        <w:t>），德士古水煤浆加压气化法、凯洛格法，甲醇与合成氨联合生产的联醇法，纯碱与合成氨联合生产的联碱法，采用变换催化剂、氧化锌脱硫剂和甲烷催化剂的“三催化”气体净化法工艺过程的操作作业。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9.6</w:t>
      </w:r>
      <w:r w:rsidRPr="006E4D42">
        <w:rPr>
          <w:rFonts w:cs="宋体" w:hint="eastAsia"/>
          <w:kern w:val="0"/>
          <w:sz w:val="24"/>
          <w:szCs w:val="24"/>
        </w:rPr>
        <w:t>裂解（裂化）工艺作业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指石油系的烃类原料裂解（裂化）岗位的作业。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适用于热裂解制烯烃工艺，重油催化裂化制汽油、柴油、丙烯、丁烯，乙苯裂解制苯乙烯，二氟一氯甲烷（</w:t>
      </w:r>
      <w:r w:rsidRPr="006E4D42">
        <w:rPr>
          <w:rFonts w:ascii="Calibri" w:eastAsia="宋体" w:hAnsi="Calibri" w:cs="Calibri"/>
          <w:kern w:val="0"/>
          <w:sz w:val="24"/>
          <w:szCs w:val="24"/>
        </w:rPr>
        <w:t>HCFC-22</w:t>
      </w:r>
      <w:r w:rsidRPr="006E4D42">
        <w:rPr>
          <w:rFonts w:cs="宋体" w:hint="eastAsia"/>
          <w:kern w:val="0"/>
          <w:sz w:val="24"/>
          <w:szCs w:val="24"/>
        </w:rPr>
        <w:t>）热裂解制得四氟乙烯（</w:t>
      </w:r>
      <w:r w:rsidRPr="006E4D42">
        <w:rPr>
          <w:rFonts w:ascii="Calibri" w:eastAsia="宋体" w:hAnsi="Calibri" w:cs="Calibri"/>
          <w:kern w:val="0"/>
          <w:sz w:val="24"/>
          <w:szCs w:val="24"/>
        </w:rPr>
        <w:t>TFE</w:t>
      </w:r>
      <w:r w:rsidRPr="006E4D42">
        <w:rPr>
          <w:rFonts w:cs="宋体" w:hint="eastAsia"/>
          <w:kern w:val="0"/>
          <w:sz w:val="24"/>
          <w:szCs w:val="24"/>
        </w:rPr>
        <w:t>），二氟一氯乙烷（</w:t>
      </w:r>
      <w:r w:rsidRPr="006E4D42">
        <w:rPr>
          <w:rFonts w:ascii="Calibri" w:eastAsia="宋体" w:hAnsi="Calibri" w:cs="Calibri"/>
          <w:kern w:val="0"/>
          <w:sz w:val="24"/>
          <w:szCs w:val="24"/>
        </w:rPr>
        <w:t>HCFC-142b</w:t>
      </w:r>
      <w:r w:rsidRPr="006E4D42">
        <w:rPr>
          <w:rFonts w:cs="宋体" w:hint="eastAsia"/>
          <w:kern w:val="0"/>
          <w:sz w:val="24"/>
          <w:szCs w:val="24"/>
        </w:rPr>
        <w:t>）热裂解制得偏氟乙烯（</w:t>
      </w:r>
      <w:r w:rsidRPr="006E4D42">
        <w:rPr>
          <w:rFonts w:ascii="Calibri" w:eastAsia="宋体" w:hAnsi="Calibri" w:cs="Calibri"/>
          <w:kern w:val="0"/>
          <w:sz w:val="24"/>
          <w:szCs w:val="24"/>
        </w:rPr>
        <w:t>VDF</w:t>
      </w:r>
      <w:r w:rsidRPr="006E4D42">
        <w:rPr>
          <w:rFonts w:cs="宋体" w:hint="eastAsia"/>
          <w:kern w:val="0"/>
          <w:sz w:val="24"/>
          <w:szCs w:val="24"/>
        </w:rPr>
        <w:t>），四氟乙烯和八氟环丁烷热裂解制得六氟乙烯（</w:t>
      </w:r>
      <w:r w:rsidRPr="006E4D42">
        <w:rPr>
          <w:rFonts w:ascii="Calibri" w:eastAsia="宋体" w:hAnsi="Calibri" w:cs="Calibri"/>
          <w:kern w:val="0"/>
          <w:sz w:val="24"/>
          <w:szCs w:val="24"/>
        </w:rPr>
        <w:t>HFP</w:t>
      </w:r>
      <w:r w:rsidRPr="006E4D42">
        <w:rPr>
          <w:rFonts w:cs="宋体" w:hint="eastAsia"/>
          <w:kern w:val="0"/>
          <w:sz w:val="24"/>
          <w:szCs w:val="24"/>
        </w:rPr>
        <w:t>）工艺过程的操作作业。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9.7</w:t>
      </w:r>
      <w:r w:rsidRPr="006E4D42">
        <w:rPr>
          <w:rFonts w:cs="宋体" w:hint="eastAsia"/>
          <w:kern w:val="0"/>
          <w:sz w:val="24"/>
          <w:szCs w:val="24"/>
        </w:rPr>
        <w:t>氟化工艺作业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指氟化反应岗位的作业。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适用于直接氟化，金属氟化物或氟化氢气体氟化，置换氟化以及其他氟化物的制备等工艺过程的操作作业。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9.8</w:t>
      </w:r>
      <w:r w:rsidRPr="006E4D42">
        <w:rPr>
          <w:rFonts w:cs="宋体" w:hint="eastAsia"/>
          <w:kern w:val="0"/>
          <w:sz w:val="24"/>
          <w:szCs w:val="24"/>
        </w:rPr>
        <w:t>加氢工艺作业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指加氢反应岗位的作业。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适用于不饱和炔烃、烯烃的三键和双键加氢，芳烃加氢，含氧化合物加氢，含氮化合物加氢以及油品加氢等工艺过程的操作作业。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9.9</w:t>
      </w:r>
      <w:r w:rsidRPr="006E4D42">
        <w:rPr>
          <w:rFonts w:cs="宋体" w:hint="eastAsia"/>
          <w:kern w:val="0"/>
          <w:sz w:val="24"/>
          <w:szCs w:val="24"/>
        </w:rPr>
        <w:t>重氮化工艺作业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指重氮化反应、重氮盐后处理岗位的作业。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lastRenderedPageBreak/>
        <w:t>适用于顺法、反加法、亚硝酰硫酸法、硫酸铜触媒法以及盐析法等工艺过程的操作作业。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9.10</w:t>
      </w:r>
      <w:r w:rsidRPr="006E4D42">
        <w:rPr>
          <w:rFonts w:cs="宋体" w:hint="eastAsia"/>
          <w:kern w:val="0"/>
          <w:sz w:val="24"/>
          <w:szCs w:val="24"/>
        </w:rPr>
        <w:t>氧化工艺作业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指氧化反应岗位的作业。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适用于乙烯氧化制环氧乙烷，甲醇氧化制备甲醛，对二甲苯氧化制备对苯二甲酸，异丙苯经氧化</w:t>
      </w:r>
      <w:r w:rsidRPr="006E4D42">
        <w:rPr>
          <w:rFonts w:ascii="Calibri" w:eastAsia="宋体" w:hAnsi="Calibri" w:cs="Calibri"/>
          <w:kern w:val="0"/>
          <w:sz w:val="24"/>
          <w:szCs w:val="24"/>
        </w:rPr>
        <w:t>-</w:t>
      </w:r>
      <w:r w:rsidRPr="006E4D42">
        <w:rPr>
          <w:rFonts w:cs="宋体" w:hint="eastAsia"/>
          <w:kern w:val="0"/>
          <w:sz w:val="24"/>
          <w:szCs w:val="24"/>
        </w:rPr>
        <w:t>酸解联产苯酚和丙酮，环己烷氧化制环己酮，天然气氧化制乙炔，丁烯、丁烷、</w:t>
      </w:r>
      <w:r w:rsidRPr="006E4D42">
        <w:rPr>
          <w:rFonts w:ascii="Calibri" w:eastAsia="宋体" w:hAnsi="Calibri" w:cs="Calibri"/>
          <w:kern w:val="0"/>
          <w:sz w:val="24"/>
          <w:szCs w:val="24"/>
        </w:rPr>
        <w:t>C4</w:t>
      </w:r>
      <w:r w:rsidRPr="006E4D42">
        <w:rPr>
          <w:rFonts w:cs="宋体" w:hint="eastAsia"/>
          <w:kern w:val="0"/>
          <w:sz w:val="24"/>
          <w:szCs w:val="24"/>
        </w:rPr>
        <w:t>馏分或苯的氧化制顺丁烯二酸酐，邻二甲苯或萘的氧化制备邻苯二甲酸酐，均四甲苯的氧化制备均苯四甲酸二酐，苊的氧化制</w:t>
      </w:r>
      <w:r w:rsidRPr="006E4D42">
        <w:rPr>
          <w:rFonts w:ascii="Calibri" w:eastAsia="宋体" w:hAnsi="Calibri" w:cs="Calibri"/>
          <w:kern w:val="0"/>
          <w:sz w:val="24"/>
          <w:szCs w:val="24"/>
        </w:rPr>
        <w:t>1,8-</w:t>
      </w:r>
      <w:r w:rsidRPr="006E4D42">
        <w:rPr>
          <w:rFonts w:cs="宋体" w:hint="eastAsia"/>
          <w:kern w:val="0"/>
          <w:sz w:val="24"/>
          <w:szCs w:val="24"/>
        </w:rPr>
        <w:t>萘二甲酸酐，</w:t>
      </w:r>
      <w:r w:rsidRPr="006E4D42">
        <w:rPr>
          <w:rFonts w:ascii="Calibri" w:eastAsia="宋体" w:hAnsi="Calibri" w:cs="Calibri"/>
          <w:kern w:val="0"/>
          <w:sz w:val="24"/>
          <w:szCs w:val="24"/>
        </w:rPr>
        <w:t>3-</w:t>
      </w:r>
      <w:r w:rsidRPr="006E4D42">
        <w:rPr>
          <w:rFonts w:cs="宋体" w:hint="eastAsia"/>
          <w:kern w:val="0"/>
          <w:sz w:val="24"/>
          <w:szCs w:val="24"/>
        </w:rPr>
        <w:t>甲基吡啶氧化制</w:t>
      </w:r>
      <w:r w:rsidRPr="006E4D42">
        <w:rPr>
          <w:rFonts w:ascii="Calibri" w:eastAsia="宋体" w:hAnsi="Calibri" w:cs="Calibri"/>
          <w:kern w:val="0"/>
          <w:sz w:val="24"/>
          <w:szCs w:val="24"/>
        </w:rPr>
        <w:t>3-</w:t>
      </w:r>
      <w:r w:rsidRPr="006E4D42">
        <w:rPr>
          <w:rFonts w:cs="宋体" w:hint="eastAsia"/>
          <w:kern w:val="0"/>
          <w:sz w:val="24"/>
          <w:szCs w:val="24"/>
        </w:rPr>
        <w:t>吡啶甲酸（烟酸），</w:t>
      </w:r>
      <w:r w:rsidRPr="006E4D42">
        <w:rPr>
          <w:rFonts w:ascii="Calibri" w:eastAsia="宋体" w:hAnsi="Calibri" w:cs="Calibri"/>
          <w:kern w:val="0"/>
          <w:sz w:val="24"/>
          <w:szCs w:val="24"/>
        </w:rPr>
        <w:t>4-</w:t>
      </w:r>
      <w:r w:rsidRPr="006E4D42">
        <w:rPr>
          <w:rFonts w:cs="宋体" w:hint="eastAsia"/>
          <w:kern w:val="0"/>
          <w:sz w:val="24"/>
          <w:szCs w:val="24"/>
        </w:rPr>
        <w:t>甲基吡啶氧化制</w:t>
      </w:r>
      <w:r w:rsidRPr="006E4D42">
        <w:rPr>
          <w:rFonts w:ascii="Calibri" w:eastAsia="宋体" w:hAnsi="Calibri" w:cs="Calibri"/>
          <w:kern w:val="0"/>
          <w:sz w:val="24"/>
          <w:szCs w:val="24"/>
        </w:rPr>
        <w:t>4-</w:t>
      </w:r>
      <w:r w:rsidRPr="006E4D42">
        <w:rPr>
          <w:rFonts w:cs="宋体" w:hint="eastAsia"/>
          <w:kern w:val="0"/>
          <w:sz w:val="24"/>
          <w:szCs w:val="24"/>
        </w:rPr>
        <w:t>吡啶甲酸（异烟酸），</w:t>
      </w:r>
      <w:r w:rsidRPr="006E4D42">
        <w:rPr>
          <w:rFonts w:ascii="Calibri" w:eastAsia="宋体" w:hAnsi="Calibri" w:cs="Calibri"/>
          <w:kern w:val="0"/>
          <w:sz w:val="24"/>
          <w:szCs w:val="24"/>
        </w:rPr>
        <w:t>2-</w:t>
      </w:r>
      <w:r w:rsidRPr="006E4D42">
        <w:rPr>
          <w:rFonts w:cs="宋体" w:hint="eastAsia"/>
          <w:kern w:val="0"/>
          <w:sz w:val="24"/>
          <w:szCs w:val="24"/>
        </w:rPr>
        <w:t>乙基已醇（异辛醇）氧化制备</w:t>
      </w:r>
      <w:r w:rsidRPr="006E4D42">
        <w:rPr>
          <w:rFonts w:ascii="Calibri" w:eastAsia="宋体" w:hAnsi="Calibri" w:cs="Calibri"/>
          <w:kern w:val="0"/>
          <w:sz w:val="24"/>
          <w:szCs w:val="24"/>
        </w:rPr>
        <w:t>2-</w:t>
      </w:r>
      <w:r w:rsidRPr="006E4D42">
        <w:rPr>
          <w:rFonts w:cs="宋体" w:hint="eastAsia"/>
          <w:kern w:val="0"/>
          <w:sz w:val="24"/>
          <w:szCs w:val="24"/>
        </w:rPr>
        <w:t>乙基己酸（异辛酸），对氯甲苯氧化制备对氯苯甲醛和对氯苯甲酸，甲苯氧化制备苯甲醛、苯甲酸，对硝基甲苯氧化制备对硝基苯甲酸，环十二醇</w:t>
      </w:r>
      <w:r w:rsidRPr="006E4D42">
        <w:rPr>
          <w:rFonts w:ascii="Calibri" w:eastAsia="宋体" w:hAnsi="Calibri" w:cs="Calibri"/>
          <w:kern w:val="0"/>
          <w:sz w:val="24"/>
          <w:szCs w:val="24"/>
        </w:rPr>
        <w:t>/</w:t>
      </w:r>
      <w:r w:rsidRPr="006E4D42">
        <w:rPr>
          <w:rFonts w:cs="宋体" w:hint="eastAsia"/>
          <w:kern w:val="0"/>
          <w:sz w:val="24"/>
          <w:szCs w:val="24"/>
        </w:rPr>
        <w:t>酮混合物的开环氧化制备十二碳二酸，环己酮</w:t>
      </w:r>
      <w:r w:rsidRPr="006E4D42">
        <w:rPr>
          <w:rFonts w:ascii="Calibri" w:eastAsia="宋体" w:hAnsi="Calibri" w:cs="Calibri"/>
          <w:kern w:val="0"/>
          <w:sz w:val="24"/>
          <w:szCs w:val="24"/>
        </w:rPr>
        <w:t>/</w:t>
      </w:r>
      <w:r w:rsidRPr="006E4D42">
        <w:rPr>
          <w:rFonts w:cs="宋体" w:hint="eastAsia"/>
          <w:kern w:val="0"/>
          <w:sz w:val="24"/>
          <w:szCs w:val="24"/>
        </w:rPr>
        <w:t>醇混合物的氧化制己二酸，乙二醛硝酸氧化法合成乙醛酸，以及丁醛氧化制丁酸以及氨氧化制硝酸等工艺过程的操作作业。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9.11</w:t>
      </w:r>
      <w:r w:rsidRPr="006E4D42">
        <w:rPr>
          <w:rFonts w:cs="宋体" w:hint="eastAsia"/>
          <w:kern w:val="0"/>
          <w:sz w:val="24"/>
          <w:szCs w:val="24"/>
        </w:rPr>
        <w:t>过氧化工艺作业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指过氧化反应、过氧化物储存岗位的作业。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适用于双氧水的生产，乙酸在硫酸存在下与双氧水作用制备过氧乙酸水溶液，酸酐与双氧水作用直接制备过氧二酸，苯甲酰氯与双氧水的碱性溶液作用制备过氧化苯甲酰，以及异丙苯经空气氧化生产过氧化氢异丙苯等工艺过程的操作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9.12</w:t>
      </w:r>
      <w:r w:rsidRPr="006E4D42">
        <w:rPr>
          <w:rFonts w:cs="宋体" w:hint="eastAsia"/>
          <w:kern w:val="0"/>
          <w:sz w:val="24"/>
          <w:szCs w:val="24"/>
        </w:rPr>
        <w:t>胺基化工艺作业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指胺基化反应岗位的作业。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适用于邻硝基氯苯与氨水反应制备邻硝基苯胺，对硝基氯苯与氨水反应制备对硝基苯胺，间甲酚与氯化铵的混合物在催化剂和氨水作用下生成间甲苯胺，甲醇在催化剂和氨气作用下制备甲胺，</w:t>
      </w:r>
      <w:r w:rsidRPr="006E4D42">
        <w:rPr>
          <w:rFonts w:ascii="Calibri" w:eastAsia="宋体" w:hAnsi="Calibri" w:cs="Calibri"/>
          <w:kern w:val="0"/>
          <w:sz w:val="24"/>
          <w:szCs w:val="24"/>
        </w:rPr>
        <w:t>1-</w:t>
      </w:r>
      <w:r w:rsidRPr="006E4D42">
        <w:rPr>
          <w:rFonts w:cs="宋体" w:hint="eastAsia"/>
          <w:kern w:val="0"/>
          <w:sz w:val="24"/>
          <w:szCs w:val="24"/>
        </w:rPr>
        <w:t>硝基蒽醌与过量的氨水在氯苯中制备</w:t>
      </w:r>
      <w:r w:rsidRPr="006E4D42">
        <w:rPr>
          <w:rFonts w:ascii="Calibri" w:eastAsia="宋体" w:hAnsi="Calibri" w:cs="Calibri"/>
          <w:kern w:val="0"/>
          <w:sz w:val="24"/>
          <w:szCs w:val="24"/>
        </w:rPr>
        <w:t>1-</w:t>
      </w:r>
      <w:r w:rsidRPr="006E4D42">
        <w:rPr>
          <w:rFonts w:cs="宋体" w:hint="eastAsia"/>
          <w:kern w:val="0"/>
          <w:sz w:val="24"/>
          <w:szCs w:val="24"/>
        </w:rPr>
        <w:t>氨基蒽醌，</w:t>
      </w:r>
      <w:r w:rsidRPr="006E4D42">
        <w:rPr>
          <w:rFonts w:ascii="Calibri" w:eastAsia="宋体" w:hAnsi="Calibri" w:cs="Calibri"/>
          <w:kern w:val="0"/>
          <w:sz w:val="24"/>
          <w:szCs w:val="24"/>
        </w:rPr>
        <w:t>2,6-</w:t>
      </w:r>
      <w:r w:rsidRPr="006E4D42">
        <w:rPr>
          <w:rFonts w:cs="宋体" w:hint="eastAsia"/>
          <w:kern w:val="0"/>
          <w:sz w:val="24"/>
          <w:szCs w:val="24"/>
        </w:rPr>
        <w:t>蒽醌二磺酸氨解制备</w:t>
      </w:r>
      <w:r w:rsidRPr="006E4D42">
        <w:rPr>
          <w:rFonts w:ascii="Calibri" w:eastAsia="宋体" w:hAnsi="Calibri" w:cs="Calibri"/>
          <w:kern w:val="0"/>
          <w:sz w:val="24"/>
          <w:szCs w:val="24"/>
        </w:rPr>
        <w:t>2,6-</w:t>
      </w:r>
      <w:r w:rsidRPr="006E4D42">
        <w:rPr>
          <w:rFonts w:cs="宋体" w:hint="eastAsia"/>
          <w:kern w:val="0"/>
          <w:sz w:val="24"/>
          <w:szCs w:val="24"/>
        </w:rPr>
        <w:t>二氨基蒽醌，苯乙烯与胺反应制备</w:t>
      </w:r>
      <w:r w:rsidRPr="006E4D42">
        <w:rPr>
          <w:rFonts w:ascii="Calibri" w:eastAsia="宋体" w:hAnsi="Calibri" w:cs="Calibri"/>
          <w:kern w:val="0"/>
          <w:sz w:val="24"/>
          <w:szCs w:val="24"/>
        </w:rPr>
        <w:t>N-</w:t>
      </w:r>
      <w:r w:rsidRPr="006E4D42">
        <w:rPr>
          <w:rFonts w:cs="宋体" w:hint="eastAsia"/>
          <w:kern w:val="0"/>
          <w:sz w:val="24"/>
          <w:szCs w:val="24"/>
        </w:rPr>
        <w:t>取代苯乙胺，环氧乙烷或亚乙基亚胺与胺或氨发生开环加成反应制备氨基乙醇或二胺，甲苯经氨氧化制备苯甲腈，以及丙烯氨氧化制备丙烯腈等工艺过程的操作作业。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lastRenderedPageBreak/>
        <w:t>9.13</w:t>
      </w:r>
      <w:r w:rsidRPr="006E4D42">
        <w:rPr>
          <w:rFonts w:cs="宋体" w:hint="eastAsia"/>
          <w:kern w:val="0"/>
          <w:sz w:val="24"/>
          <w:szCs w:val="24"/>
        </w:rPr>
        <w:t>磺化工艺作业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指磺化反应岗位的作业。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适用于三氧化硫磺化法，共沸去水磺化法，氯磺酸磺化法，烘焙磺化法，以及亚硫酸盐磺化法等工艺过程的操作作业。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9.14</w:t>
      </w:r>
      <w:r w:rsidRPr="006E4D42">
        <w:rPr>
          <w:rFonts w:cs="宋体" w:hint="eastAsia"/>
          <w:kern w:val="0"/>
          <w:sz w:val="24"/>
          <w:szCs w:val="24"/>
        </w:rPr>
        <w:t>聚合工艺作业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指聚合反应岗位的作业。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适用于聚烯烃、聚氯乙烯、合成纤维、橡胶、乳液、涂料粘合剂生产以及氟化物聚合等工艺过程的操作作业。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9.15</w:t>
      </w:r>
      <w:r w:rsidRPr="006E4D42">
        <w:rPr>
          <w:rFonts w:cs="宋体" w:hint="eastAsia"/>
          <w:kern w:val="0"/>
          <w:sz w:val="24"/>
          <w:szCs w:val="24"/>
        </w:rPr>
        <w:t>烷基化工艺作业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指烷基化反应岗位的作业。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适用于</w:t>
      </w:r>
      <w:r w:rsidRPr="006E4D42">
        <w:rPr>
          <w:rFonts w:ascii="Calibri" w:eastAsia="宋体" w:hAnsi="Calibri" w:cs="Calibri"/>
          <w:kern w:val="0"/>
          <w:sz w:val="24"/>
          <w:szCs w:val="24"/>
        </w:rPr>
        <w:t>C-</w:t>
      </w:r>
      <w:r w:rsidRPr="006E4D42">
        <w:rPr>
          <w:rFonts w:cs="宋体" w:hint="eastAsia"/>
          <w:kern w:val="0"/>
          <w:sz w:val="24"/>
          <w:szCs w:val="24"/>
        </w:rPr>
        <w:t>烷基化反应，</w:t>
      </w:r>
      <w:r w:rsidRPr="006E4D42">
        <w:rPr>
          <w:rFonts w:ascii="Calibri" w:eastAsia="宋体" w:hAnsi="Calibri" w:cs="Calibri"/>
          <w:kern w:val="0"/>
          <w:sz w:val="24"/>
          <w:szCs w:val="24"/>
        </w:rPr>
        <w:t>N-</w:t>
      </w:r>
      <w:r w:rsidRPr="006E4D42">
        <w:rPr>
          <w:rFonts w:cs="宋体" w:hint="eastAsia"/>
          <w:kern w:val="0"/>
          <w:sz w:val="24"/>
          <w:szCs w:val="24"/>
        </w:rPr>
        <w:t>烷基化反应，</w:t>
      </w:r>
      <w:r w:rsidRPr="006E4D42">
        <w:rPr>
          <w:rFonts w:ascii="Calibri" w:eastAsia="宋体" w:hAnsi="Calibri" w:cs="Calibri"/>
          <w:kern w:val="0"/>
          <w:sz w:val="24"/>
          <w:szCs w:val="24"/>
        </w:rPr>
        <w:t>O-</w:t>
      </w:r>
      <w:r w:rsidRPr="006E4D42">
        <w:rPr>
          <w:rFonts w:cs="宋体" w:hint="eastAsia"/>
          <w:kern w:val="0"/>
          <w:sz w:val="24"/>
          <w:szCs w:val="24"/>
        </w:rPr>
        <w:t>烷基化反应等工艺过程的操作作业。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9.16</w:t>
      </w:r>
      <w:r w:rsidRPr="006E4D42">
        <w:rPr>
          <w:rFonts w:cs="宋体" w:hint="eastAsia"/>
          <w:kern w:val="0"/>
          <w:sz w:val="24"/>
          <w:szCs w:val="24"/>
        </w:rPr>
        <w:t>化工自动化控制仪表作业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指化工自动化控制仪表系统安装、维修、维护的作业。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10</w:t>
      </w:r>
      <w:r w:rsidRPr="006E4D42">
        <w:rPr>
          <w:rFonts w:cs="宋体" w:hint="eastAsia"/>
          <w:kern w:val="0"/>
          <w:sz w:val="24"/>
          <w:szCs w:val="24"/>
        </w:rPr>
        <w:t>烟花爆竹安全作业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指从事烟花爆竹生产、储存中的药物混合、造粒、筛选、装药、筑药、压药、搬运等危险工序的作业。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10.1</w:t>
      </w:r>
      <w:r w:rsidRPr="006E4D42">
        <w:rPr>
          <w:rFonts w:cs="宋体" w:hint="eastAsia"/>
          <w:kern w:val="0"/>
          <w:sz w:val="24"/>
          <w:szCs w:val="24"/>
        </w:rPr>
        <w:t>烟火药制造作业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指从事烟火药的粉碎、配药、混合、造粒、筛选、干燥、包装等作业。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10.2</w:t>
      </w:r>
      <w:r w:rsidRPr="006E4D42">
        <w:rPr>
          <w:rFonts w:cs="宋体" w:hint="eastAsia"/>
          <w:kern w:val="0"/>
          <w:sz w:val="24"/>
          <w:szCs w:val="24"/>
        </w:rPr>
        <w:t>黑火药制造作业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指从事黑火药的潮药、浆硝、包片、碎片、油压、抛光和包浆等作业。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10.3</w:t>
      </w:r>
      <w:r w:rsidRPr="006E4D42">
        <w:rPr>
          <w:rFonts w:cs="宋体" w:hint="eastAsia"/>
          <w:kern w:val="0"/>
          <w:sz w:val="24"/>
          <w:szCs w:val="24"/>
        </w:rPr>
        <w:t>引火线制造作业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lastRenderedPageBreak/>
        <w:t>指从事引火线的制引、浆引、漆引、切引等作业。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10.4</w:t>
      </w:r>
      <w:r w:rsidRPr="006E4D42">
        <w:rPr>
          <w:rFonts w:cs="宋体" w:hint="eastAsia"/>
          <w:kern w:val="0"/>
          <w:sz w:val="24"/>
          <w:szCs w:val="24"/>
        </w:rPr>
        <w:t>烟花爆竹产品涉药作业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指从事烟花爆竹产品加工中的压药、装药、筑药、褙药剂、已装药的钻孔等作业。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10.5</w:t>
      </w:r>
      <w:r w:rsidRPr="006E4D42">
        <w:rPr>
          <w:rFonts w:cs="宋体" w:hint="eastAsia"/>
          <w:kern w:val="0"/>
          <w:sz w:val="24"/>
          <w:szCs w:val="24"/>
        </w:rPr>
        <w:t>烟花爆竹储存作业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cs="宋体" w:hint="eastAsia"/>
          <w:kern w:val="0"/>
          <w:sz w:val="24"/>
          <w:szCs w:val="24"/>
        </w:rPr>
        <w:t>指从事烟花爆竹仓库保管、守护、搬运等作业。</w:t>
      </w:r>
    </w:p>
    <w:p w:rsidR="006E4D42" w:rsidRPr="006E4D42" w:rsidRDefault="006E4D42" w:rsidP="00693BB6">
      <w:pPr>
        <w:widowControl/>
        <w:spacing w:afterLines="100" w:line="380" w:lineRule="exact"/>
        <w:ind w:firstLineChars="200" w:firstLine="480"/>
        <w:jc w:val="left"/>
        <w:rPr>
          <w:rFonts w:ascii="宋体" w:eastAsia="宋体" w:hAnsi="宋体" w:cs="宋体"/>
          <w:kern w:val="0"/>
          <w:sz w:val="24"/>
          <w:szCs w:val="24"/>
        </w:rPr>
      </w:pPr>
      <w:r w:rsidRPr="006E4D42">
        <w:rPr>
          <w:rFonts w:ascii="Calibri" w:eastAsia="宋体" w:hAnsi="Calibri" w:cs="Calibri"/>
          <w:kern w:val="0"/>
          <w:sz w:val="24"/>
          <w:szCs w:val="24"/>
        </w:rPr>
        <w:t>11</w:t>
      </w:r>
      <w:r w:rsidRPr="006E4D42">
        <w:rPr>
          <w:rFonts w:cs="宋体" w:hint="eastAsia"/>
          <w:kern w:val="0"/>
          <w:sz w:val="24"/>
          <w:szCs w:val="24"/>
        </w:rPr>
        <w:t>安全监管总局认定的其他作业</w:t>
      </w:r>
    </w:p>
    <w:p w:rsidR="00013A20" w:rsidRPr="006E4D42" w:rsidRDefault="00013A20" w:rsidP="006E4D42">
      <w:pPr>
        <w:pStyle w:val="a5"/>
        <w:jc w:val="center"/>
      </w:pPr>
    </w:p>
    <w:sectPr w:rsidR="00013A20" w:rsidRPr="006E4D42" w:rsidSect="00C97CD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1F2" w:rsidRDefault="000401F2" w:rsidP="009530B9">
      <w:r>
        <w:separator/>
      </w:r>
    </w:p>
  </w:endnote>
  <w:endnote w:type="continuationSeparator" w:id="1">
    <w:p w:rsidR="000401F2" w:rsidRDefault="000401F2" w:rsidP="009530B9">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BB6" w:rsidRDefault="00693BB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7504"/>
      <w:docPartObj>
        <w:docPartGallery w:val="Page Numbers (Bottom of Page)"/>
        <w:docPartUnique/>
      </w:docPartObj>
    </w:sdtPr>
    <w:sdtContent>
      <w:p w:rsidR="00693BB6" w:rsidRDefault="00693BB6">
        <w:pPr>
          <w:pStyle w:val="a4"/>
          <w:jc w:val="right"/>
        </w:pPr>
        <w:fldSimple w:instr=" PAGE   \* MERGEFORMAT ">
          <w:r w:rsidRPr="00693BB6">
            <w:rPr>
              <w:noProof/>
              <w:lang w:val="zh-CN"/>
            </w:rPr>
            <w:t>1</w:t>
          </w:r>
        </w:fldSimple>
      </w:p>
    </w:sdtContent>
  </w:sdt>
  <w:p w:rsidR="00693BB6" w:rsidRDefault="00693BB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BB6" w:rsidRDefault="00693BB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1F2" w:rsidRDefault="000401F2" w:rsidP="009530B9">
      <w:r>
        <w:separator/>
      </w:r>
    </w:p>
  </w:footnote>
  <w:footnote w:type="continuationSeparator" w:id="1">
    <w:p w:rsidR="000401F2" w:rsidRDefault="000401F2" w:rsidP="009530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BB6" w:rsidRDefault="00693BB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BB6" w:rsidRDefault="00693BB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BB6" w:rsidRDefault="00693BB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24ED"/>
    <w:rsid w:val="00010033"/>
    <w:rsid w:val="00013A20"/>
    <w:rsid w:val="000401F2"/>
    <w:rsid w:val="00180599"/>
    <w:rsid w:val="001813AF"/>
    <w:rsid w:val="001A0922"/>
    <w:rsid w:val="00266CC4"/>
    <w:rsid w:val="002B6CD3"/>
    <w:rsid w:val="004946DF"/>
    <w:rsid w:val="00521302"/>
    <w:rsid w:val="00693BB6"/>
    <w:rsid w:val="006D0AD6"/>
    <w:rsid w:val="006E4D42"/>
    <w:rsid w:val="007C6CD8"/>
    <w:rsid w:val="007F1D69"/>
    <w:rsid w:val="00806322"/>
    <w:rsid w:val="00840681"/>
    <w:rsid w:val="008C485A"/>
    <w:rsid w:val="009530B9"/>
    <w:rsid w:val="00970DD3"/>
    <w:rsid w:val="00994C8C"/>
    <w:rsid w:val="009A24ED"/>
    <w:rsid w:val="00BA2104"/>
    <w:rsid w:val="00BD10C0"/>
    <w:rsid w:val="00C27093"/>
    <w:rsid w:val="00C860AA"/>
    <w:rsid w:val="00C90977"/>
    <w:rsid w:val="00C97CD0"/>
    <w:rsid w:val="00EE1647"/>
    <w:rsid w:val="00EE49C7"/>
    <w:rsid w:val="00F16B71"/>
    <w:rsid w:val="00F77B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C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30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30B9"/>
    <w:rPr>
      <w:sz w:val="18"/>
      <w:szCs w:val="18"/>
    </w:rPr>
  </w:style>
  <w:style w:type="paragraph" w:styleId="a4">
    <w:name w:val="footer"/>
    <w:basedOn w:val="a"/>
    <w:link w:val="Char0"/>
    <w:uiPriority w:val="99"/>
    <w:unhideWhenUsed/>
    <w:rsid w:val="009530B9"/>
    <w:pPr>
      <w:tabs>
        <w:tab w:val="center" w:pos="4153"/>
        <w:tab w:val="right" w:pos="8306"/>
      </w:tabs>
      <w:snapToGrid w:val="0"/>
      <w:jc w:val="left"/>
    </w:pPr>
    <w:rPr>
      <w:sz w:val="18"/>
      <w:szCs w:val="18"/>
    </w:rPr>
  </w:style>
  <w:style w:type="character" w:customStyle="1" w:styleId="Char0">
    <w:name w:val="页脚 Char"/>
    <w:basedOn w:val="a0"/>
    <w:link w:val="a4"/>
    <w:uiPriority w:val="99"/>
    <w:rsid w:val="009530B9"/>
    <w:rPr>
      <w:sz w:val="18"/>
      <w:szCs w:val="18"/>
    </w:rPr>
  </w:style>
  <w:style w:type="paragraph" w:styleId="a5">
    <w:name w:val="Normal (Web)"/>
    <w:basedOn w:val="a"/>
    <w:uiPriority w:val="99"/>
    <w:unhideWhenUsed/>
    <w:rsid w:val="009530B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530B9"/>
    <w:rPr>
      <w:b/>
      <w:bCs/>
    </w:rPr>
  </w:style>
  <w:style w:type="character" w:customStyle="1" w:styleId="title">
    <w:name w:val="title"/>
    <w:basedOn w:val="a0"/>
    <w:rsid w:val="00180599"/>
  </w:style>
  <w:style w:type="character" w:styleId="a7">
    <w:name w:val="Hyperlink"/>
    <w:basedOn w:val="a0"/>
    <w:uiPriority w:val="99"/>
    <w:semiHidden/>
    <w:unhideWhenUsed/>
    <w:rsid w:val="00EE1647"/>
    <w:rPr>
      <w:color w:val="0000FF"/>
      <w:u w:val="single"/>
    </w:rPr>
  </w:style>
  <w:style w:type="character" w:styleId="a8">
    <w:name w:val="FollowedHyperlink"/>
    <w:basedOn w:val="a0"/>
    <w:uiPriority w:val="99"/>
    <w:semiHidden/>
    <w:unhideWhenUsed/>
    <w:rsid w:val="00EE1647"/>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32330972">
      <w:bodyDiv w:val="1"/>
      <w:marLeft w:val="0"/>
      <w:marRight w:val="0"/>
      <w:marTop w:val="0"/>
      <w:marBottom w:val="0"/>
      <w:divBdr>
        <w:top w:val="none" w:sz="0" w:space="0" w:color="auto"/>
        <w:left w:val="none" w:sz="0" w:space="0" w:color="auto"/>
        <w:bottom w:val="none" w:sz="0" w:space="0" w:color="auto"/>
        <w:right w:val="none" w:sz="0" w:space="0" w:color="auto"/>
      </w:divBdr>
    </w:div>
    <w:div w:id="134615174">
      <w:bodyDiv w:val="1"/>
      <w:marLeft w:val="0"/>
      <w:marRight w:val="0"/>
      <w:marTop w:val="0"/>
      <w:marBottom w:val="0"/>
      <w:divBdr>
        <w:top w:val="none" w:sz="0" w:space="0" w:color="auto"/>
        <w:left w:val="none" w:sz="0" w:space="0" w:color="auto"/>
        <w:bottom w:val="none" w:sz="0" w:space="0" w:color="auto"/>
        <w:right w:val="none" w:sz="0" w:space="0" w:color="auto"/>
      </w:divBdr>
    </w:div>
    <w:div w:id="232736614">
      <w:bodyDiv w:val="1"/>
      <w:marLeft w:val="0"/>
      <w:marRight w:val="0"/>
      <w:marTop w:val="0"/>
      <w:marBottom w:val="0"/>
      <w:divBdr>
        <w:top w:val="none" w:sz="0" w:space="0" w:color="auto"/>
        <w:left w:val="none" w:sz="0" w:space="0" w:color="auto"/>
        <w:bottom w:val="none" w:sz="0" w:space="0" w:color="auto"/>
        <w:right w:val="none" w:sz="0" w:space="0" w:color="auto"/>
      </w:divBdr>
    </w:div>
    <w:div w:id="657147585">
      <w:bodyDiv w:val="1"/>
      <w:marLeft w:val="0"/>
      <w:marRight w:val="0"/>
      <w:marTop w:val="0"/>
      <w:marBottom w:val="0"/>
      <w:divBdr>
        <w:top w:val="none" w:sz="0" w:space="0" w:color="auto"/>
        <w:left w:val="none" w:sz="0" w:space="0" w:color="auto"/>
        <w:bottom w:val="none" w:sz="0" w:space="0" w:color="auto"/>
        <w:right w:val="none" w:sz="0" w:space="0" w:color="auto"/>
      </w:divBdr>
    </w:div>
    <w:div w:id="697898476">
      <w:bodyDiv w:val="1"/>
      <w:marLeft w:val="0"/>
      <w:marRight w:val="0"/>
      <w:marTop w:val="0"/>
      <w:marBottom w:val="0"/>
      <w:divBdr>
        <w:top w:val="none" w:sz="0" w:space="0" w:color="auto"/>
        <w:left w:val="none" w:sz="0" w:space="0" w:color="auto"/>
        <w:bottom w:val="none" w:sz="0" w:space="0" w:color="auto"/>
        <w:right w:val="none" w:sz="0" w:space="0" w:color="auto"/>
      </w:divBdr>
    </w:div>
    <w:div w:id="840002124">
      <w:bodyDiv w:val="1"/>
      <w:marLeft w:val="0"/>
      <w:marRight w:val="0"/>
      <w:marTop w:val="0"/>
      <w:marBottom w:val="0"/>
      <w:divBdr>
        <w:top w:val="none" w:sz="0" w:space="0" w:color="auto"/>
        <w:left w:val="none" w:sz="0" w:space="0" w:color="auto"/>
        <w:bottom w:val="none" w:sz="0" w:space="0" w:color="auto"/>
        <w:right w:val="none" w:sz="0" w:space="0" w:color="auto"/>
      </w:divBdr>
    </w:div>
    <w:div w:id="891161900">
      <w:bodyDiv w:val="1"/>
      <w:marLeft w:val="0"/>
      <w:marRight w:val="0"/>
      <w:marTop w:val="0"/>
      <w:marBottom w:val="0"/>
      <w:divBdr>
        <w:top w:val="none" w:sz="0" w:space="0" w:color="auto"/>
        <w:left w:val="none" w:sz="0" w:space="0" w:color="auto"/>
        <w:bottom w:val="none" w:sz="0" w:space="0" w:color="auto"/>
        <w:right w:val="none" w:sz="0" w:space="0" w:color="auto"/>
      </w:divBdr>
    </w:div>
    <w:div w:id="1373924709">
      <w:bodyDiv w:val="1"/>
      <w:marLeft w:val="0"/>
      <w:marRight w:val="0"/>
      <w:marTop w:val="0"/>
      <w:marBottom w:val="0"/>
      <w:divBdr>
        <w:top w:val="none" w:sz="0" w:space="0" w:color="auto"/>
        <w:left w:val="none" w:sz="0" w:space="0" w:color="auto"/>
        <w:bottom w:val="none" w:sz="0" w:space="0" w:color="auto"/>
        <w:right w:val="none" w:sz="0" w:space="0" w:color="auto"/>
      </w:divBdr>
    </w:div>
    <w:div w:id="1663124342">
      <w:bodyDiv w:val="1"/>
      <w:marLeft w:val="0"/>
      <w:marRight w:val="0"/>
      <w:marTop w:val="0"/>
      <w:marBottom w:val="0"/>
      <w:divBdr>
        <w:top w:val="none" w:sz="0" w:space="0" w:color="auto"/>
        <w:left w:val="none" w:sz="0" w:space="0" w:color="auto"/>
        <w:bottom w:val="none" w:sz="0" w:space="0" w:color="auto"/>
        <w:right w:val="none" w:sz="0" w:space="0" w:color="auto"/>
      </w:divBdr>
    </w:div>
    <w:div w:id="1968507380">
      <w:bodyDiv w:val="1"/>
      <w:marLeft w:val="0"/>
      <w:marRight w:val="0"/>
      <w:marTop w:val="0"/>
      <w:marBottom w:val="0"/>
      <w:divBdr>
        <w:top w:val="none" w:sz="0" w:space="0" w:color="auto"/>
        <w:left w:val="none" w:sz="0" w:space="0" w:color="auto"/>
        <w:bottom w:val="none" w:sz="0" w:space="0" w:color="auto"/>
        <w:right w:val="none" w:sz="0" w:space="0" w:color="auto"/>
      </w:divBdr>
      <w:divsChild>
        <w:div w:id="796871668">
          <w:marLeft w:val="0"/>
          <w:marRight w:val="0"/>
          <w:marTop w:val="0"/>
          <w:marBottom w:val="0"/>
          <w:divBdr>
            <w:top w:val="none" w:sz="0" w:space="0" w:color="auto"/>
            <w:left w:val="none" w:sz="0" w:space="0" w:color="auto"/>
            <w:bottom w:val="none" w:sz="0" w:space="0" w:color="auto"/>
            <w:right w:val="none" w:sz="0" w:space="0" w:color="auto"/>
          </w:divBdr>
        </w:div>
        <w:div w:id="2070880431">
          <w:marLeft w:val="0"/>
          <w:marRight w:val="0"/>
          <w:marTop w:val="0"/>
          <w:marBottom w:val="0"/>
          <w:divBdr>
            <w:top w:val="none" w:sz="0" w:space="0" w:color="auto"/>
            <w:left w:val="none" w:sz="0" w:space="0" w:color="auto"/>
            <w:bottom w:val="none" w:sz="0" w:space="0" w:color="auto"/>
            <w:right w:val="none" w:sz="0" w:space="0" w:color="auto"/>
          </w:divBdr>
        </w:div>
      </w:divsChild>
    </w:div>
    <w:div w:id="2065792173">
      <w:bodyDiv w:val="1"/>
      <w:marLeft w:val="0"/>
      <w:marRight w:val="0"/>
      <w:marTop w:val="0"/>
      <w:marBottom w:val="0"/>
      <w:divBdr>
        <w:top w:val="none" w:sz="0" w:space="0" w:color="auto"/>
        <w:left w:val="none" w:sz="0" w:space="0" w:color="auto"/>
        <w:bottom w:val="none" w:sz="0" w:space="0" w:color="auto"/>
        <w:right w:val="none" w:sz="0" w:space="0" w:color="auto"/>
      </w:divBdr>
      <w:divsChild>
        <w:div w:id="847132872">
          <w:marLeft w:val="0"/>
          <w:marRight w:val="0"/>
          <w:marTop w:val="0"/>
          <w:marBottom w:val="0"/>
          <w:divBdr>
            <w:top w:val="none" w:sz="0" w:space="0" w:color="auto"/>
            <w:left w:val="none" w:sz="0" w:space="0" w:color="auto"/>
            <w:bottom w:val="none" w:sz="0" w:space="0" w:color="auto"/>
            <w:right w:val="none" w:sz="0" w:space="0" w:color="auto"/>
          </w:divBdr>
        </w:div>
        <w:div w:id="2092311728">
          <w:marLeft w:val="0"/>
          <w:marRight w:val="0"/>
          <w:marTop w:val="0"/>
          <w:marBottom w:val="0"/>
          <w:divBdr>
            <w:top w:val="none" w:sz="0" w:space="0" w:color="auto"/>
            <w:left w:val="none" w:sz="0" w:space="0" w:color="auto"/>
            <w:bottom w:val="none" w:sz="0" w:space="0" w:color="auto"/>
            <w:right w:val="none" w:sz="0" w:space="0" w:color="auto"/>
          </w:divBdr>
        </w:div>
      </w:divsChild>
    </w:div>
    <w:div w:id="213124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1569</Words>
  <Characters>8946</Characters>
  <Application>Microsoft Office Word</Application>
  <DocSecurity>0</DocSecurity>
  <Lines>74</Lines>
  <Paragraphs>20</Paragraphs>
  <ScaleCrop>false</ScaleCrop>
  <Company/>
  <LinksUpToDate>false</LinksUpToDate>
  <CharactersWithSpaces>10495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Q</dc:creator>
  <cp:keywords/>
  <dc:description/>
  <cp:lastModifiedBy>dell</cp:lastModifiedBy>
  <cp:revision>5</cp:revision>
  <dcterms:created xsi:type="dcterms:W3CDTF">2017-04-20T01:50:00Z</dcterms:created>
  <dcterms:modified xsi:type="dcterms:W3CDTF">2018-10-25T08:17:00Z</dcterms:modified>
</cp:coreProperties>
</file>